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4684" w:rsidRPr="0000521D" w:rsidRDefault="0060433E" w:rsidP="0060433E">
      <w:pPr>
        <w:spacing w:after="0" w:line="240" w:lineRule="auto"/>
        <w:jc w:val="center"/>
        <w:rPr>
          <w:b/>
          <w:sz w:val="28"/>
          <w:szCs w:val="28"/>
        </w:rPr>
      </w:pPr>
      <w:r w:rsidRPr="0000521D">
        <w:rPr>
          <w:b/>
          <w:sz w:val="28"/>
          <w:szCs w:val="28"/>
        </w:rPr>
        <w:t>SPECYFIKACJA WARUNKÓW ZAMÓWIENIA</w:t>
      </w:r>
    </w:p>
    <w:p w:rsidR="005D54FF" w:rsidRPr="0000521D" w:rsidRDefault="005D54FF" w:rsidP="0060433E">
      <w:pPr>
        <w:spacing w:after="0" w:line="240" w:lineRule="auto"/>
        <w:jc w:val="center"/>
        <w:rPr>
          <w:b/>
        </w:rPr>
      </w:pPr>
    </w:p>
    <w:p w:rsidR="00A76E88" w:rsidRPr="0000521D" w:rsidRDefault="00A76E88" w:rsidP="005D54FF">
      <w:pPr>
        <w:numPr>
          <w:ilvl w:val="0"/>
          <w:numId w:val="7"/>
        </w:numPr>
        <w:spacing w:after="0" w:line="290" w:lineRule="atLeast"/>
        <w:ind w:left="426" w:hanging="426"/>
      </w:pPr>
      <w:r w:rsidRPr="0000521D">
        <w:rPr>
          <w:b/>
          <w:bCs/>
        </w:rPr>
        <w:t>ZAMAWIAJĄCY.</w:t>
      </w:r>
    </w:p>
    <w:p w:rsidR="00A76E88" w:rsidRPr="0000521D" w:rsidRDefault="00A76E88" w:rsidP="005D54FF">
      <w:pPr>
        <w:pStyle w:val="Lista"/>
        <w:tabs>
          <w:tab w:val="left" w:pos="1344"/>
        </w:tabs>
        <w:spacing w:line="290" w:lineRule="atLeast"/>
        <w:rPr>
          <w:rFonts w:ascii="Calibri" w:hAnsi="Calibri"/>
          <w:sz w:val="22"/>
          <w:szCs w:val="22"/>
        </w:rPr>
      </w:pPr>
      <w:r w:rsidRPr="0000521D">
        <w:rPr>
          <w:rFonts w:ascii="Calibri" w:hAnsi="Calibri"/>
          <w:sz w:val="22"/>
          <w:szCs w:val="22"/>
        </w:rPr>
        <w:t>Regionalny Zakład Zagospodarowania Odpadów Sp. z o.o.</w:t>
      </w:r>
    </w:p>
    <w:p w:rsidR="00A76E88" w:rsidRPr="0000521D" w:rsidRDefault="00A76E88" w:rsidP="005D54FF">
      <w:pPr>
        <w:pStyle w:val="Tekstpodstawowy21"/>
        <w:tabs>
          <w:tab w:val="left" w:pos="1344"/>
        </w:tabs>
        <w:spacing w:line="290" w:lineRule="atLeast"/>
        <w:rPr>
          <w:rFonts w:ascii="Calibri" w:hAnsi="Calibri"/>
          <w:sz w:val="22"/>
          <w:szCs w:val="22"/>
        </w:rPr>
      </w:pPr>
      <w:r w:rsidRPr="0000521D">
        <w:rPr>
          <w:rFonts w:ascii="Calibri" w:hAnsi="Calibri"/>
          <w:sz w:val="22"/>
          <w:szCs w:val="22"/>
        </w:rPr>
        <w:t xml:space="preserve">ul. </w:t>
      </w:r>
      <w:proofErr w:type="spellStart"/>
      <w:r w:rsidRPr="0000521D">
        <w:rPr>
          <w:rFonts w:ascii="Calibri" w:hAnsi="Calibri"/>
          <w:sz w:val="22"/>
          <w:szCs w:val="22"/>
        </w:rPr>
        <w:t>Staroprzygodzka</w:t>
      </w:r>
      <w:proofErr w:type="spellEnd"/>
      <w:r w:rsidRPr="0000521D">
        <w:rPr>
          <w:rFonts w:ascii="Calibri" w:hAnsi="Calibri"/>
          <w:sz w:val="22"/>
          <w:szCs w:val="22"/>
        </w:rPr>
        <w:t xml:space="preserve"> 121</w:t>
      </w:r>
    </w:p>
    <w:p w:rsidR="00A76E88" w:rsidRPr="0000521D" w:rsidRDefault="00A76E88" w:rsidP="005D54FF">
      <w:pPr>
        <w:pStyle w:val="Tekstpodstawowy21"/>
        <w:tabs>
          <w:tab w:val="left" w:pos="1344"/>
        </w:tabs>
        <w:spacing w:line="290" w:lineRule="atLeast"/>
        <w:rPr>
          <w:rFonts w:ascii="Calibri" w:hAnsi="Calibri"/>
          <w:sz w:val="22"/>
          <w:szCs w:val="22"/>
        </w:rPr>
      </w:pPr>
      <w:r w:rsidRPr="0000521D">
        <w:rPr>
          <w:rFonts w:ascii="Calibri" w:hAnsi="Calibri"/>
          <w:sz w:val="22"/>
          <w:szCs w:val="22"/>
        </w:rPr>
        <w:t>63-400 Ostrów Wielkopolski</w:t>
      </w:r>
    </w:p>
    <w:p w:rsidR="00A76E88" w:rsidRPr="0000521D" w:rsidRDefault="00A76E88" w:rsidP="005D54FF">
      <w:pPr>
        <w:pStyle w:val="Tekstpodstawowy21"/>
        <w:tabs>
          <w:tab w:val="left" w:pos="1344"/>
        </w:tabs>
        <w:spacing w:line="290" w:lineRule="atLeast"/>
        <w:rPr>
          <w:rFonts w:ascii="Calibri" w:hAnsi="Calibri"/>
          <w:sz w:val="22"/>
          <w:szCs w:val="22"/>
        </w:rPr>
      </w:pPr>
      <w:r w:rsidRPr="0000521D">
        <w:rPr>
          <w:rFonts w:ascii="Calibri" w:hAnsi="Calibri"/>
          <w:sz w:val="22"/>
          <w:szCs w:val="22"/>
        </w:rPr>
        <w:t>tel. 62 50 33 700</w:t>
      </w:r>
    </w:p>
    <w:p w:rsidR="00A76E88" w:rsidRPr="0000521D" w:rsidRDefault="00A76E88" w:rsidP="005D54FF">
      <w:pPr>
        <w:tabs>
          <w:tab w:val="left" w:pos="1344"/>
        </w:tabs>
        <w:spacing w:after="0" w:line="290" w:lineRule="atLeast"/>
        <w:rPr>
          <w:lang w:val="de-DE"/>
        </w:rPr>
      </w:pPr>
      <w:proofErr w:type="spellStart"/>
      <w:r w:rsidRPr="0000521D">
        <w:rPr>
          <w:lang w:val="de-DE"/>
        </w:rPr>
        <w:t>e-mail</w:t>
      </w:r>
      <w:proofErr w:type="spellEnd"/>
      <w:r w:rsidRPr="0000521D">
        <w:rPr>
          <w:lang w:val="de-DE"/>
        </w:rPr>
        <w:t xml:space="preserve">: </w:t>
      </w:r>
      <w:hyperlink r:id="rId8" w:history="1">
        <w:r w:rsidRPr="00463B90">
          <w:rPr>
            <w:rStyle w:val="Hipercze"/>
            <w:color w:val="2F5496" w:themeColor="accent1" w:themeShade="BF"/>
            <w:lang w:val="de-DE"/>
          </w:rPr>
          <w:t>przetargi@rzzo.com.pl</w:t>
        </w:r>
      </w:hyperlink>
    </w:p>
    <w:p w:rsidR="00A76E88" w:rsidRPr="0000521D" w:rsidRDefault="00A76E88" w:rsidP="005D54FF">
      <w:pPr>
        <w:spacing w:after="0" w:line="290" w:lineRule="atLeast"/>
        <w:rPr>
          <w:lang w:val="de-DE"/>
        </w:rPr>
      </w:pPr>
      <w:proofErr w:type="spellStart"/>
      <w:r w:rsidRPr="0000521D">
        <w:rPr>
          <w:lang w:val="de-DE"/>
        </w:rPr>
        <w:t>www</w:t>
      </w:r>
      <w:proofErr w:type="spellEnd"/>
      <w:r w:rsidRPr="0000521D">
        <w:rPr>
          <w:lang w:val="de-DE"/>
        </w:rPr>
        <w:t xml:space="preserve">: </w:t>
      </w:r>
      <w:hyperlink r:id="rId9" w:history="1">
        <w:r w:rsidRPr="00463B90">
          <w:rPr>
            <w:rStyle w:val="Hipercze"/>
            <w:color w:val="2F5496" w:themeColor="accent1" w:themeShade="BF"/>
            <w:lang w:val="de-DE"/>
          </w:rPr>
          <w:t>http://rzzo.com.pl/zamowienia-publiczne-aktualne/</w:t>
        </w:r>
      </w:hyperlink>
    </w:p>
    <w:p w:rsidR="00AD67C8" w:rsidRPr="0000521D" w:rsidRDefault="00AD67C8" w:rsidP="00AD67C8">
      <w:pPr>
        <w:spacing w:after="0" w:line="240" w:lineRule="auto"/>
        <w:jc w:val="both"/>
        <w:rPr>
          <w:b/>
          <w:bCs/>
          <w:sz w:val="20"/>
          <w:szCs w:val="20"/>
          <w:lang w:val="de-DE"/>
        </w:rPr>
      </w:pPr>
    </w:p>
    <w:p w:rsidR="00AD67C8" w:rsidRPr="0000521D" w:rsidRDefault="00AD67C8" w:rsidP="00AD67C8">
      <w:pPr>
        <w:spacing w:after="0" w:line="240" w:lineRule="auto"/>
        <w:jc w:val="both"/>
        <w:rPr>
          <w:b/>
          <w:bCs/>
          <w:szCs w:val="20"/>
        </w:rPr>
      </w:pPr>
      <w:r w:rsidRPr="0000521D">
        <w:rPr>
          <w:b/>
          <w:bCs/>
          <w:szCs w:val="20"/>
        </w:rPr>
        <w:t>Pośrednik ubezpieczeniowy – broker ubezpieczeniowy, biorący udział w postępowaniu:</w:t>
      </w:r>
    </w:p>
    <w:p w:rsidR="00AD67C8" w:rsidRPr="0000521D" w:rsidRDefault="00AD67C8" w:rsidP="00AD67C8">
      <w:pPr>
        <w:spacing w:after="0" w:line="240" w:lineRule="auto"/>
        <w:jc w:val="both"/>
        <w:rPr>
          <w:szCs w:val="20"/>
        </w:rPr>
      </w:pPr>
      <w:r w:rsidRPr="0000521D">
        <w:rPr>
          <w:szCs w:val="20"/>
        </w:rPr>
        <w:t xml:space="preserve">PWS Konstanta S.A. z siedzibą w Bielsku-Białej </w:t>
      </w:r>
    </w:p>
    <w:p w:rsidR="00AD67C8" w:rsidRPr="0000521D" w:rsidRDefault="00AD67C8" w:rsidP="00AD67C8">
      <w:pPr>
        <w:spacing w:after="0" w:line="240" w:lineRule="auto"/>
        <w:jc w:val="both"/>
        <w:rPr>
          <w:szCs w:val="20"/>
        </w:rPr>
      </w:pPr>
      <w:r w:rsidRPr="0000521D">
        <w:rPr>
          <w:szCs w:val="20"/>
        </w:rPr>
        <w:t>ul. Warszawska 153, 43-300 Bielsko-Biała</w:t>
      </w:r>
    </w:p>
    <w:p w:rsidR="00AD67C8" w:rsidRPr="0000521D" w:rsidRDefault="00AD67C8" w:rsidP="00AD67C8">
      <w:pPr>
        <w:spacing w:after="0" w:line="240" w:lineRule="auto"/>
        <w:jc w:val="both"/>
        <w:rPr>
          <w:szCs w:val="20"/>
        </w:rPr>
      </w:pPr>
      <w:r w:rsidRPr="0000521D">
        <w:rPr>
          <w:szCs w:val="20"/>
        </w:rPr>
        <w:t xml:space="preserve">Numer KRS 0000073190, NIP 937–000–61–46 </w:t>
      </w:r>
    </w:p>
    <w:p w:rsidR="00AD67C8" w:rsidRPr="0000521D" w:rsidRDefault="00AD67C8" w:rsidP="00AD67C8">
      <w:pPr>
        <w:spacing w:after="0" w:line="240" w:lineRule="auto"/>
        <w:jc w:val="both"/>
        <w:rPr>
          <w:szCs w:val="20"/>
        </w:rPr>
      </w:pPr>
      <w:r w:rsidRPr="0000521D">
        <w:rPr>
          <w:szCs w:val="20"/>
        </w:rPr>
        <w:t>wpis do rejestru pośredników ubezpieczeniowych: numer 00000092/U,</w:t>
      </w:r>
    </w:p>
    <w:p w:rsidR="00AD67C8" w:rsidRPr="0000521D" w:rsidRDefault="00AD67C8" w:rsidP="00AD67C8">
      <w:pPr>
        <w:spacing w:after="0" w:line="290" w:lineRule="atLeast"/>
        <w:rPr>
          <w:lang w:val="de-DE"/>
        </w:rPr>
      </w:pPr>
      <w:r w:rsidRPr="0000521D">
        <w:rPr>
          <w:szCs w:val="20"/>
        </w:rPr>
        <w:t>zezwolenie Ministra Finansów na prowadzenie działalności brokerskiej z dnia 31 marca 1995 r. numer 516</w:t>
      </w:r>
    </w:p>
    <w:p w:rsidR="00A76E88" w:rsidRPr="0000521D" w:rsidRDefault="00A76E88" w:rsidP="005D54FF">
      <w:pPr>
        <w:spacing w:after="0" w:line="290" w:lineRule="atLeast"/>
        <w:rPr>
          <w:lang w:val="de-DE"/>
        </w:rPr>
      </w:pPr>
    </w:p>
    <w:p w:rsidR="00A76E88" w:rsidRPr="0000521D" w:rsidRDefault="00A76E88" w:rsidP="005D54FF">
      <w:pPr>
        <w:numPr>
          <w:ilvl w:val="0"/>
          <w:numId w:val="7"/>
        </w:numPr>
        <w:spacing w:after="0" w:line="290" w:lineRule="atLeast"/>
        <w:ind w:left="426" w:hanging="426"/>
        <w:rPr>
          <w:b/>
        </w:rPr>
      </w:pPr>
      <w:r w:rsidRPr="0000521D">
        <w:rPr>
          <w:b/>
        </w:rPr>
        <w:t>TRYB UDZIELENIA ZAMÓWIENIA.</w:t>
      </w:r>
    </w:p>
    <w:p w:rsidR="00A76E88" w:rsidRPr="0000521D" w:rsidRDefault="00A76E88" w:rsidP="005D54FF">
      <w:pPr>
        <w:numPr>
          <w:ilvl w:val="1"/>
          <w:numId w:val="7"/>
        </w:numPr>
        <w:spacing w:after="0" w:line="290" w:lineRule="atLeast"/>
        <w:ind w:left="851" w:hanging="425"/>
        <w:jc w:val="both"/>
      </w:pPr>
      <w:r w:rsidRPr="0000521D">
        <w:t xml:space="preserve">Postępowanie prowadzone jest w trybie przetargu nieograniczonego na podstawie </w:t>
      </w:r>
      <w:r w:rsidRPr="0000521D">
        <w:rPr>
          <w:spacing w:val="-2"/>
        </w:rPr>
        <w:t xml:space="preserve">ustawy </w:t>
      </w:r>
      <w:r w:rsidR="00A55516" w:rsidRPr="0000521D">
        <w:rPr>
          <w:spacing w:val="-2"/>
        </w:rPr>
        <w:br/>
      </w:r>
      <w:r w:rsidRPr="0000521D">
        <w:rPr>
          <w:spacing w:val="-2"/>
        </w:rPr>
        <w:t>z dnia 11 września 2019 r.</w:t>
      </w:r>
      <w:r w:rsidRPr="0000521D">
        <w:t xml:space="preserve"> Prawo zamówień publicznych </w:t>
      </w:r>
      <w:r w:rsidRPr="0000521D">
        <w:rPr>
          <w:bCs/>
        </w:rPr>
        <w:t xml:space="preserve">(Dz. U. z 2019 r. poz. 2019 ze zmianami), zwanej dalej </w:t>
      </w:r>
      <w:proofErr w:type="spellStart"/>
      <w:r w:rsidRPr="0000521D">
        <w:rPr>
          <w:bCs/>
        </w:rPr>
        <w:t>Pzp</w:t>
      </w:r>
      <w:proofErr w:type="spellEnd"/>
      <w:r w:rsidRPr="0000521D">
        <w:rPr>
          <w:bCs/>
        </w:rPr>
        <w:t xml:space="preserve"> lub ustawą.</w:t>
      </w:r>
    </w:p>
    <w:p w:rsidR="00A76E88" w:rsidRPr="0000521D" w:rsidRDefault="00A76E88" w:rsidP="005D54FF">
      <w:pPr>
        <w:numPr>
          <w:ilvl w:val="1"/>
          <w:numId w:val="7"/>
        </w:numPr>
        <w:spacing w:after="0" w:line="290" w:lineRule="atLeast"/>
        <w:ind w:left="851" w:hanging="425"/>
        <w:jc w:val="both"/>
      </w:pPr>
      <w:r w:rsidRPr="0000521D">
        <w:rPr>
          <w:bCs/>
        </w:rPr>
        <w:t xml:space="preserve">Na podstawie art. 139 ust. 1 </w:t>
      </w:r>
      <w:proofErr w:type="spellStart"/>
      <w:r w:rsidRPr="0000521D">
        <w:rPr>
          <w:bCs/>
        </w:rPr>
        <w:t>Pzp</w:t>
      </w:r>
      <w:proofErr w:type="spellEnd"/>
      <w:r w:rsidRPr="0000521D">
        <w:rPr>
          <w:bCs/>
        </w:rPr>
        <w:t xml:space="preserve"> z</w:t>
      </w:r>
      <w:r w:rsidRPr="0000521D">
        <w:t>amawiający najpierw dokona badania i oceny ofert,</w:t>
      </w:r>
      <w:r w:rsidR="00A55516" w:rsidRPr="0000521D">
        <w:br/>
      </w:r>
      <w:r w:rsidRPr="0000521D">
        <w:t>a następnie dokona kwalifikacji podmiotowej wykonawcy, którego oferta zostanie najwyżej oceniona, w zakresie braku podstaw wykluczenia oraz spełniania warunków udziału</w:t>
      </w:r>
      <w:r w:rsidR="00A55516" w:rsidRPr="0000521D">
        <w:br/>
      </w:r>
      <w:r w:rsidRPr="0000521D">
        <w:t>w postępowaniu – tzw. „</w:t>
      </w:r>
      <w:r w:rsidRPr="0000521D">
        <w:rPr>
          <w:b/>
        </w:rPr>
        <w:t>procedura odwrócona</w:t>
      </w:r>
      <w:r w:rsidRPr="0000521D">
        <w:t>”.</w:t>
      </w:r>
    </w:p>
    <w:p w:rsidR="006D4998" w:rsidRPr="0000521D" w:rsidRDefault="006D4998" w:rsidP="005D54FF">
      <w:pPr>
        <w:numPr>
          <w:ilvl w:val="1"/>
          <w:numId w:val="7"/>
        </w:numPr>
        <w:spacing w:after="0" w:line="290" w:lineRule="atLeast"/>
        <w:ind w:left="851" w:hanging="425"/>
        <w:jc w:val="both"/>
      </w:pPr>
      <w:r w:rsidRPr="0000521D">
        <w:t>Oświadczenia,</w:t>
      </w:r>
      <w:r w:rsidRPr="0000521D">
        <w:rPr>
          <w:bCs/>
        </w:rPr>
        <w:t xml:space="preserve"> o którym mowa w art. 125 ust. 1 </w:t>
      </w:r>
      <w:proofErr w:type="spellStart"/>
      <w:r w:rsidRPr="0000521D">
        <w:rPr>
          <w:bCs/>
        </w:rPr>
        <w:t>Pzp</w:t>
      </w:r>
      <w:proofErr w:type="spellEnd"/>
      <w:r w:rsidRPr="0000521D">
        <w:rPr>
          <w:bCs/>
        </w:rPr>
        <w:t xml:space="preserve"> (JEDZ),</w:t>
      </w:r>
      <w:r w:rsidRPr="0000521D">
        <w:t xml:space="preserve"> nie składa każdy wykonawca. Na podstawie </w:t>
      </w:r>
      <w:r w:rsidRPr="0000521D">
        <w:rPr>
          <w:bCs/>
        </w:rPr>
        <w:t xml:space="preserve">art. 139 ust. 2 </w:t>
      </w:r>
      <w:proofErr w:type="spellStart"/>
      <w:r w:rsidRPr="0000521D">
        <w:rPr>
          <w:bCs/>
        </w:rPr>
        <w:t>Pzp</w:t>
      </w:r>
      <w:proofErr w:type="spellEnd"/>
      <w:r w:rsidRPr="0000521D">
        <w:t xml:space="preserve"> do jego złożenia zamawiający wezwie </w:t>
      </w:r>
      <w:r w:rsidRPr="0000521D">
        <w:rPr>
          <w:b/>
        </w:rPr>
        <w:t>tylko wykonawcę</w:t>
      </w:r>
      <w:r w:rsidRPr="0000521D">
        <w:t xml:space="preserve">, którego oferta </w:t>
      </w:r>
      <w:r w:rsidRPr="0000521D">
        <w:rPr>
          <w:bCs/>
        </w:rPr>
        <w:t>zostanie najwyżej oceniona.</w:t>
      </w:r>
    </w:p>
    <w:p w:rsidR="00A76E88" w:rsidRPr="0000521D" w:rsidRDefault="00A76E88" w:rsidP="005D54FF">
      <w:pPr>
        <w:spacing w:after="0" w:line="290" w:lineRule="atLeast"/>
        <w:ind w:left="851"/>
        <w:jc w:val="both"/>
      </w:pPr>
    </w:p>
    <w:p w:rsidR="00A76E88" w:rsidRPr="0000521D" w:rsidRDefault="00A76E88" w:rsidP="005D54FF">
      <w:pPr>
        <w:numPr>
          <w:ilvl w:val="0"/>
          <w:numId w:val="7"/>
        </w:numPr>
        <w:spacing w:after="0" w:line="290" w:lineRule="atLeast"/>
        <w:ind w:left="426" w:hanging="426"/>
        <w:jc w:val="both"/>
      </w:pPr>
      <w:r w:rsidRPr="0000521D">
        <w:rPr>
          <w:b/>
          <w:bCs/>
        </w:rPr>
        <w:t>PRZEDMIOT ZAMÓWIENIA.</w:t>
      </w:r>
    </w:p>
    <w:p w:rsidR="00A76E88" w:rsidRPr="0000521D" w:rsidRDefault="0003656B" w:rsidP="005D54FF">
      <w:pPr>
        <w:spacing w:after="0" w:line="290" w:lineRule="atLeast"/>
        <w:jc w:val="both"/>
        <w:rPr>
          <w:rFonts w:asciiTheme="minorHAnsi" w:hAnsiTheme="minorHAnsi"/>
        </w:rPr>
      </w:pPr>
      <w:bookmarkStart w:id="0" w:name="_Hlk75338376"/>
      <w:r w:rsidRPr="0000521D">
        <w:rPr>
          <w:bCs/>
        </w:rPr>
        <w:t>U</w:t>
      </w:r>
      <w:r w:rsidR="00AD67C8" w:rsidRPr="0000521D">
        <w:rPr>
          <w:bCs/>
        </w:rPr>
        <w:t xml:space="preserve">bezpieczenia majątkowe dla Regionalnego Zakładu Zagospodarowania Odpadów Sp. z o.o. </w:t>
      </w:r>
      <w:r w:rsidRPr="0000521D">
        <w:rPr>
          <w:bCs/>
        </w:rPr>
        <w:br/>
      </w:r>
      <w:r w:rsidR="00AD67C8" w:rsidRPr="0000521D">
        <w:rPr>
          <w:bCs/>
        </w:rPr>
        <w:t>w  Ostrowie Wielkopolskim</w:t>
      </w:r>
      <w:r w:rsidR="00322385" w:rsidRPr="0000521D">
        <w:rPr>
          <w:rFonts w:asciiTheme="minorHAnsi" w:eastAsia="Arial" w:hAnsiTheme="minorHAnsi"/>
          <w:lang w:eastAsia="pl-PL"/>
        </w:rPr>
        <w:t>.</w:t>
      </w:r>
    </w:p>
    <w:bookmarkEnd w:id="0"/>
    <w:p w:rsidR="00CC1E17" w:rsidRPr="0000521D" w:rsidRDefault="00CC1E17" w:rsidP="005D54FF">
      <w:pPr>
        <w:spacing w:after="0" w:line="290" w:lineRule="atLeast"/>
        <w:jc w:val="both"/>
      </w:pPr>
    </w:p>
    <w:p w:rsidR="00A76E88" w:rsidRPr="0000521D" w:rsidRDefault="00A76E88" w:rsidP="005D54FF">
      <w:pPr>
        <w:numPr>
          <w:ilvl w:val="1"/>
          <w:numId w:val="7"/>
        </w:numPr>
        <w:spacing w:after="0" w:line="290" w:lineRule="atLeast"/>
        <w:ind w:left="851" w:hanging="491"/>
      </w:pPr>
      <w:r w:rsidRPr="0000521D">
        <w:rPr>
          <w:bCs/>
        </w:rPr>
        <w:t>CPV:</w:t>
      </w:r>
      <w:r w:rsidR="00864374" w:rsidRPr="0000521D">
        <w:rPr>
          <w:bCs/>
        </w:rPr>
        <w:t xml:space="preserve"> 66510000-8 Usługi ubezpieczeniowe</w:t>
      </w:r>
    </w:p>
    <w:p w:rsidR="00A76E88" w:rsidRPr="0000521D" w:rsidRDefault="00AD67C8" w:rsidP="005D54FF">
      <w:pPr>
        <w:numPr>
          <w:ilvl w:val="1"/>
          <w:numId w:val="7"/>
        </w:numPr>
        <w:spacing w:after="0" w:line="290" w:lineRule="atLeast"/>
        <w:ind w:left="851" w:hanging="491"/>
        <w:rPr>
          <w:rFonts w:asciiTheme="minorHAnsi" w:hAnsiTheme="minorHAnsi"/>
        </w:rPr>
      </w:pPr>
      <w:r w:rsidRPr="0000521D">
        <w:rPr>
          <w:rFonts w:asciiTheme="minorHAnsi" w:hAnsiTheme="minorHAnsi"/>
          <w:bCs/>
        </w:rPr>
        <w:t>O</w:t>
      </w:r>
      <w:r w:rsidR="00A76E88" w:rsidRPr="0000521D">
        <w:rPr>
          <w:rFonts w:asciiTheme="minorHAnsi" w:hAnsiTheme="minorHAnsi"/>
          <w:bCs/>
        </w:rPr>
        <w:t>pis przedmiotu zamówienia</w:t>
      </w:r>
      <w:r w:rsidR="00A76E88" w:rsidRPr="0000521D">
        <w:rPr>
          <w:rFonts w:asciiTheme="minorHAnsi" w:hAnsiTheme="minorHAnsi"/>
        </w:rPr>
        <w:t>:</w:t>
      </w:r>
    </w:p>
    <w:p w:rsidR="00AD67C8" w:rsidRPr="0000521D" w:rsidRDefault="00AD67C8" w:rsidP="005D54FF">
      <w:pPr>
        <w:numPr>
          <w:ilvl w:val="0"/>
          <w:numId w:val="8"/>
        </w:numPr>
        <w:spacing w:after="0" w:line="290" w:lineRule="atLeast"/>
        <w:ind w:left="1418" w:hanging="425"/>
        <w:jc w:val="both"/>
        <w:rPr>
          <w:rFonts w:asciiTheme="minorHAnsi" w:hAnsiTheme="minorHAnsi"/>
        </w:rPr>
      </w:pPr>
      <w:r w:rsidRPr="0000521D">
        <w:t>Przedmiotem zamówienia jest świadczenie przez wykonawcę na rzecz zamawiającego usługi ubezpieczeniowej w zakresie ubezpieczeń obejmujących:</w:t>
      </w:r>
    </w:p>
    <w:p w:rsidR="00AD67C8" w:rsidRPr="0000521D" w:rsidRDefault="00AD67C8" w:rsidP="00AD67C8">
      <w:pPr>
        <w:pStyle w:val="Akapitzlist"/>
        <w:numPr>
          <w:ilvl w:val="0"/>
          <w:numId w:val="29"/>
        </w:numPr>
        <w:spacing w:after="0" w:line="290" w:lineRule="atLeast"/>
        <w:jc w:val="both"/>
        <w:rPr>
          <w:rFonts w:asciiTheme="minorHAnsi" w:hAnsiTheme="minorHAnsi"/>
        </w:rPr>
      </w:pPr>
      <w:r w:rsidRPr="0000521D">
        <w:t>dobrowolne ubezpieczenie mienia od ognia i innych zdarzeń losowych,</w:t>
      </w:r>
    </w:p>
    <w:p w:rsidR="00AD67C8" w:rsidRPr="0000521D" w:rsidRDefault="00AD67C8" w:rsidP="00AD67C8">
      <w:pPr>
        <w:pStyle w:val="Akapitzlist"/>
        <w:numPr>
          <w:ilvl w:val="0"/>
          <w:numId w:val="29"/>
        </w:numPr>
        <w:spacing w:after="0" w:line="290" w:lineRule="atLeast"/>
        <w:jc w:val="both"/>
        <w:rPr>
          <w:rFonts w:asciiTheme="minorHAnsi" w:hAnsiTheme="minorHAnsi"/>
        </w:rPr>
      </w:pPr>
      <w:r w:rsidRPr="0000521D">
        <w:t xml:space="preserve">dobrowolne ubezpieczenie sprzętu elektronicznego od wszystkich </w:t>
      </w:r>
      <w:proofErr w:type="spellStart"/>
      <w:r w:rsidRPr="0000521D">
        <w:t>ryzyk</w:t>
      </w:r>
      <w:proofErr w:type="spellEnd"/>
      <w:r w:rsidRPr="0000521D">
        <w:t>,</w:t>
      </w:r>
    </w:p>
    <w:p w:rsidR="00AD67C8" w:rsidRPr="0000521D" w:rsidRDefault="00AD67C8" w:rsidP="00AD67C8">
      <w:pPr>
        <w:pStyle w:val="Akapitzlist"/>
        <w:numPr>
          <w:ilvl w:val="0"/>
          <w:numId w:val="29"/>
        </w:numPr>
        <w:spacing w:after="0" w:line="290" w:lineRule="atLeast"/>
        <w:jc w:val="both"/>
        <w:rPr>
          <w:rFonts w:asciiTheme="minorHAnsi" w:hAnsiTheme="minorHAnsi"/>
        </w:rPr>
      </w:pPr>
      <w:r w:rsidRPr="0000521D">
        <w:t>dobrowolne ubezpieczenie mienia od kradzieży</w:t>
      </w:r>
    </w:p>
    <w:p w:rsidR="00AD67C8" w:rsidRPr="0000521D" w:rsidRDefault="00AD67C8" w:rsidP="00AD67C8">
      <w:pPr>
        <w:pStyle w:val="Akapitzlist"/>
        <w:numPr>
          <w:ilvl w:val="0"/>
          <w:numId w:val="29"/>
        </w:numPr>
        <w:spacing w:after="0" w:line="290" w:lineRule="atLeast"/>
        <w:jc w:val="both"/>
        <w:rPr>
          <w:rFonts w:asciiTheme="minorHAnsi" w:hAnsiTheme="minorHAnsi"/>
        </w:rPr>
      </w:pPr>
      <w:r w:rsidRPr="0000521D">
        <w:t>dobrowolne ubezpieczenie maszyn i urządzeń od szkód elektrycznych</w:t>
      </w:r>
    </w:p>
    <w:p w:rsidR="00AD67C8" w:rsidRPr="0000521D" w:rsidRDefault="00AD67C8" w:rsidP="00AD67C8">
      <w:pPr>
        <w:pStyle w:val="Akapitzlist"/>
        <w:numPr>
          <w:ilvl w:val="0"/>
          <w:numId w:val="29"/>
        </w:numPr>
        <w:spacing w:after="0" w:line="290" w:lineRule="atLeast"/>
        <w:jc w:val="both"/>
        <w:rPr>
          <w:rFonts w:asciiTheme="minorHAnsi" w:hAnsiTheme="minorHAnsi"/>
        </w:rPr>
      </w:pPr>
      <w:r w:rsidRPr="0000521D">
        <w:t>dobrowolne ubezpieczenie maszyny i urządzeń od awarii</w:t>
      </w:r>
    </w:p>
    <w:p w:rsidR="00AD67C8" w:rsidRPr="0000521D" w:rsidRDefault="00AD67C8" w:rsidP="00AD67C8">
      <w:pPr>
        <w:pStyle w:val="Akapitzlist"/>
        <w:numPr>
          <w:ilvl w:val="0"/>
          <w:numId w:val="29"/>
        </w:numPr>
        <w:spacing w:after="0" w:line="290" w:lineRule="atLeast"/>
        <w:jc w:val="both"/>
        <w:rPr>
          <w:rFonts w:asciiTheme="minorHAnsi" w:hAnsiTheme="minorHAnsi"/>
        </w:rPr>
      </w:pPr>
      <w:r w:rsidRPr="0000521D">
        <w:t>dobrowolne ubezpieczenie OC z tytułu prowadzonej działalności gospodarczej i użytkowanego mienia.</w:t>
      </w:r>
    </w:p>
    <w:p w:rsidR="000E1AB6" w:rsidRPr="000F1D3F" w:rsidRDefault="00AD67C8" w:rsidP="005D54FF">
      <w:pPr>
        <w:numPr>
          <w:ilvl w:val="0"/>
          <w:numId w:val="8"/>
        </w:numPr>
        <w:spacing w:after="0" w:line="290" w:lineRule="atLeast"/>
        <w:ind w:left="1418" w:hanging="425"/>
        <w:jc w:val="both"/>
        <w:rPr>
          <w:rFonts w:asciiTheme="minorHAnsi" w:hAnsiTheme="minorHAnsi"/>
        </w:rPr>
      </w:pPr>
      <w:r w:rsidRPr="000F1D3F">
        <w:t xml:space="preserve">Szczegółowy opis przedmiotu zamówienia zawiera załącznik nr </w:t>
      </w:r>
      <w:r w:rsidR="001E0A35" w:rsidRPr="000F1D3F">
        <w:t>7 do</w:t>
      </w:r>
      <w:r w:rsidRPr="000F1D3F">
        <w:t xml:space="preserve"> SWZ</w:t>
      </w:r>
      <w:r w:rsidR="00881541" w:rsidRPr="000F1D3F">
        <w:t>.</w:t>
      </w:r>
    </w:p>
    <w:p w:rsidR="00CE044A" w:rsidRPr="00864374" w:rsidRDefault="00BC12E2" w:rsidP="00864374">
      <w:pPr>
        <w:numPr>
          <w:ilvl w:val="1"/>
          <w:numId w:val="7"/>
        </w:numPr>
        <w:spacing w:after="0" w:line="290" w:lineRule="atLeast"/>
        <w:ind w:left="851" w:hanging="491"/>
        <w:jc w:val="both"/>
        <w:rPr>
          <w:color w:val="FF0000"/>
        </w:rPr>
      </w:pPr>
      <w:r w:rsidRPr="000F1D3F">
        <w:t>Nie rekomenduje się podziału na części zamówienia w przedmiocie ubezpieczenia majątkowego na odrębne zadania, albowiem z uwagi na specyfikę tych ubezpieczeń,</w:t>
      </w:r>
      <w:r w:rsidRPr="0000521D">
        <w:t xml:space="preserve"> </w:t>
      </w:r>
      <w:r w:rsidRPr="0000521D">
        <w:lastRenderedPageBreak/>
        <w:t>wykonawcy standardowo nie składają ofert na pojedyncze ryzyka tylko kompleksowo.</w:t>
      </w:r>
      <w:r w:rsidRPr="00B745C5">
        <w:t xml:space="preserve"> Ponadto, uzasadnione jest zapewnienie tożsamości wykonawcy udzielającego ochrony</w:t>
      </w:r>
      <w:r w:rsidRPr="00B745C5">
        <w:br/>
        <w:t>ubezpieczeniowej oraz tożsamości ogólnych/ szczególnych warunków ubezpieczenia, które będą mieć zastosowanie do pełnego zakresu zamówienia. Podział tego zamówienia na części, które mogłyby zostać udzielone innym wykonawcom, powodowałby bowiem ryzyko powstania tzw. luk w pokryciu ubezpieczeniowym wynikających ze stosowania przez</w:t>
      </w:r>
      <w:r w:rsidRPr="00B745C5">
        <w:br/>
        <w:t>poszczególnych wykonawców różnych ogólnych/ szczególnych warunków ubezpieczenia (zawierających</w:t>
      </w:r>
      <w:r>
        <w:t xml:space="preserve"> odmienne definicje, katalogi </w:t>
      </w:r>
      <w:proofErr w:type="spellStart"/>
      <w:r>
        <w:t>wyłączeń</w:t>
      </w:r>
      <w:proofErr w:type="spellEnd"/>
      <w:r>
        <w:t xml:space="preserve"> i ograniczeń odpowiedzialności ubezpieczyciela). W przypadku podziału przedmiotowego zamówienia na części znacznie utrudniona byłaby również realizacja kilku umów ubezpieczenia zawartych w wyniku udzielenia zam</w:t>
      </w:r>
      <w:r w:rsidR="00B745C5">
        <w:t xml:space="preserve">ówienia, a </w:t>
      </w:r>
      <w:r>
        <w:t>w szczególności - utrudnio</w:t>
      </w:r>
      <w:r w:rsidR="00B745C5">
        <w:t xml:space="preserve">na byłaby kwalifikacja roszczeń </w:t>
      </w:r>
      <w:r>
        <w:t>zgłaszanych przez pos</w:t>
      </w:r>
      <w:r w:rsidR="00B745C5">
        <w:t xml:space="preserve">zkodowanych do konkretnych umów </w:t>
      </w:r>
      <w:r>
        <w:t>ubezpieczenia. Podział przedmiotowego zamówienia na części nie jest również uzasadn</w:t>
      </w:r>
      <w:r w:rsidR="00B745C5">
        <w:t xml:space="preserve">iony ze względów ekonomicznych, </w:t>
      </w:r>
      <w:r>
        <w:t>ponieważ doprowadziłby do nieuzasadnionego podwyższenia kosztu ubezpieczenia.</w:t>
      </w:r>
    </w:p>
    <w:p w:rsidR="00CE044A" w:rsidRPr="00864374" w:rsidRDefault="00AD67C8" w:rsidP="00864374">
      <w:pPr>
        <w:numPr>
          <w:ilvl w:val="1"/>
          <w:numId w:val="7"/>
        </w:numPr>
        <w:spacing w:after="0" w:line="290" w:lineRule="atLeast"/>
        <w:ind w:left="851" w:hanging="491"/>
        <w:jc w:val="both"/>
      </w:pPr>
      <w:r w:rsidRPr="00864374">
        <w:t xml:space="preserve">Zamawiający przewiduje w zamówieniu skorzystanie z opcji zwiększenia. Pod pojęciem opcji zwiększenia rozumie się jednostronne uprawnienie zamawiającego do kształtowania zakresu zamówienia, polegające na możliwości rozszerzenia zakresu zamówienia podstawowego o określone usługi ubezpieczeniowe, których potrzeba wykonania może wystąpić na etapie realizacji zamówienia (np. rozszerzenie zakresu ochrony ubezpieczeniowej na dodatkowe składniki majątku poprzez dopłatę dodatkowej składki). Opcja zwiększająca została opisana w projektowanych postanowieniach umowy zawartych </w:t>
      </w:r>
      <w:r w:rsidRPr="001E0A35">
        <w:t xml:space="preserve">w załączniku nr </w:t>
      </w:r>
      <w:r w:rsidR="00E87ACD">
        <w:t>6</w:t>
      </w:r>
      <w:r w:rsidR="001E0A35" w:rsidRPr="001E0A35">
        <w:t xml:space="preserve"> do</w:t>
      </w:r>
      <w:r w:rsidRPr="001E0A35">
        <w:t xml:space="preserve"> SWZ</w:t>
      </w:r>
      <w:r w:rsidR="00A807AD" w:rsidRPr="001E0A35">
        <w:t>.</w:t>
      </w:r>
    </w:p>
    <w:p w:rsidR="00A807AD" w:rsidRPr="00864374" w:rsidRDefault="00A807AD" w:rsidP="00864374">
      <w:pPr>
        <w:numPr>
          <w:ilvl w:val="1"/>
          <w:numId w:val="7"/>
        </w:numPr>
        <w:spacing w:after="0" w:line="290" w:lineRule="atLeast"/>
        <w:ind w:left="851" w:hanging="491"/>
        <w:jc w:val="both"/>
      </w:pPr>
      <w:r w:rsidRPr="00864374">
        <w:t xml:space="preserve">Przewiduje się udzielenie w okresie 3 lat od dnia udzielenia zamówienia podstawowego, zamówienia polegającego na powtórzeniu podobnych usług </w:t>
      </w:r>
      <w:r w:rsidRPr="000F1D3F">
        <w:t xml:space="preserve">łącznie do </w:t>
      </w:r>
      <w:r w:rsidR="000F1D3F" w:rsidRPr="000F1D3F">
        <w:t>150</w:t>
      </w:r>
      <w:r w:rsidRPr="000F1D3F">
        <w:t xml:space="preserve"> %</w:t>
      </w:r>
      <w:r w:rsidRPr="00864374">
        <w:t xml:space="preserve"> wartości zamówienia podstawowego, zgodnie z art. 214 ust. 1 pkt 7 </w:t>
      </w:r>
      <w:proofErr w:type="spellStart"/>
      <w:r w:rsidRPr="00864374">
        <w:t>Pzp</w:t>
      </w:r>
      <w:proofErr w:type="spellEnd"/>
      <w:r w:rsidRPr="00864374">
        <w:t>.</w:t>
      </w:r>
    </w:p>
    <w:p w:rsidR="00A53270" w:rsidRPr="00864374" w:rsidRDefault="00A53270" w:rsidP="00864374">
      <w:pPr>
        <w:numPr>
          <w:ilvl w:val="1"/>
          <w:numId w:val="7"/>
        </w:numPr>
        <w:spacing w:after="0" w:line="290" w:lineRule="atLeast"/>
        <w:ind w:left="851" w:hanging="491"/>
        <w:jc w:val="both"/>
      </w:pPr>
      <w:r w:rsidRPr="00864374">
        <w:t>Wykonawca może powierzyć wykonanie części zamówienia podwykonawcy.</w:t>
      </w:r>
    </w:p>
    <w:p w:rsidR="00A53270" w:rsidRPr="00864374" w:rsidRDefault="00A53270" w:rsidP="00864374">
      <w:pPr>
        <w:numPr>
          <w:ilvl w:val="1"/>
          <w:numId w:val="7"/>
        </w:numPr>
        <w:spacing w:after="0" w:line="290" w:lineRule="atLeast"/>
        <w:ind w:left="851" w:hanging="491"/>
        <w:jc w:val="both"/>
      </w:pPr>
      <w:r w:rsidRPr="00864374">
        <w:t>Zamawiający nie żąda wskazania przez wykonawcę, w ofercie, części zamówienia, których wykonanie zamierza powierzyć podwykonawcom.</w:t>
      </w:r>
    </w:p>
    <w:p w:rsidR="00A53270" w:rsidRPr="00864374" w:rsidRDefault="00A53270" w:rsidP="00864374">
      <w:pPr>
        <w:numPr>
          <w:ilvl w:val="1"/>
          <w:numId w:val="7"/>
        </w:numPr>
        <w:spacing w:after="0" w:line="290" w:lineRule="atLeast"/>
        <w:ind w:left="851" w:hanging="491"/>
        <w:jc w:val="both"/>
      </w:pPr>
      <w:r w:rsidRPr="00864374">
        <w:t>Zamawiający zastrzega w zamówieniu obowiązek osobistego wykonania przez wykonawcę czynności ubezpieczeniowych związanych z udzielaniem ochrony ubezpieczeniowej.</w:t>
      </w:r>
    </w:p>
    <w:p w:rsidR="004E3AF9" w:rsidRPr="00864374" w:rsidRDefault="004E3AF9" w:rsidP="00864374">
      <w:pPr>
        <w:numPr>
          <w:ilvl w:val="1"/>
          <w:numId w:val="7"/>
        </w:numPr>
        <w:spacing w:after="0" w:line="290" w:lineRule="atLeast"/>
        <w:ind w:left="851" w:hanging="491"/>
        <w:jc w:val="both"/>
      </w:pPr>
      <w:r w:rsidRPr="00864374">
        <w:t>Nie dopuszcza się składania ofert częściowych.</w:t>
      </w:r>
    </w:p>
    <w:p w:rsidR="004E3AF9" w:rsidRPr="00864374" w:rsidRDefault="004E3AF9" w:rsidP="00864374">
      <w:pPr>
        <w:numPr>
          <w:ilvl w:val="1"/>
          <w:numId w:val="7"/>
        </w:numPr>
        <w:spacing w:after="0" w:line="290" w:lineRule="atLeast"/>
        <w:ind w:left="851" w:hanging="491"/>
        <w:jc w:val="both"/>
      </w:pPr>
      <w:r w:rsidRPr="00864374">
        <w:t>Nie dopuszcza się składania ofert wariantowych.</w:t>
      </w:r>
    </w:p>
    <w:p w:rsidR="00864374" w:rsidRPr="00864374" w:rsidRDefault="00864374" w:rsidP="00864374">
      <w:pPr>
        <w:numPr>
          <w:ilvl w:val="1"/>
          <w:numId w:val="7"/>
        </w:numPr>
        <w:spacing w:after="0" w:line="290" w:lineRule="atLeast"/>
        <w:ind w:left="851" w:hanging="491"/>
        <w:jc w:val="both"/>
      </w:pPr>
      <w:r w:rsidRPr="00864374">
        <w:t>Wykonawca, którego oferta zostanie wybrana jako najkorzystniejsza, ma obowiązek zawrzeć umowę w sprawie zamówienia na warunkach określonych w projektowanych postanowieniach umowy, które stanowią</w:t>
      </w:r>
      <w:r w:rsidRPr="001E0A35">
        <w:t xml:space="preserve"> </w:t>
      </w:r>
      <w:r w:rsidRPr="00E87ACD">
        <w:t xml:space="preserve">załącznik nr </w:t>
      </w:r>
      <w:r w:rsidR="00E87ACD" w:rsidRPr="00E87ACD">
        <w:t>6</w:t>
      </w:r>
      <w:r w:rsidR="001E0A35" w:rsidRPr="00E87ACD">
        <w:t xml:space="preserve"> do</w:t>
      </w:r>
      <w:r w:rsidRPr="00E87ACD">
        <w:t xml:space="preserve"> SWZ</w:t>
      </w:r>
      <w:r w:rsidRPr="00864374">
        <w:t>. Umowa zostanie uzupełniona o zapisy wynikające ze złożonej oferty.</w:t>
      </w:r>
    </w:p>
    <w:p w:rsidR="00A76E88" w:rsidRPr="00864374" w:rsidRDefault="00A76E88" w:rsidP="005D54FF">
      <w:pPr>
        <w:spacing w:after="0" w:line="290" w:lineRule="atLeast"/>
      </w:pPr>
    </w:p>
    <w:p w:rsidR="00A76E88" w:rsidRPr="00864374" w:rsidRDefault="00A12EFB" w:rsidP="005D54FF">
      <w:pPr>
        <w:numPr>
          <w:ilvl w:val="0"/>
          <w:numId w:val="7"/>
        </w:numPr>
        <w:spacing w:after="0" w:line="290" w:lineRule="atLeast"/>
        <w:ind w:left="426" w:hanging="426"/>
      </w:pPr>
      <w:r w:rsidRPr="00864374">
        <w:rPr>
          <w:b/>
          <w:bCs/>
          <w:lang w:eastAsia="pl-PL"/>
        </w:rPr>
        <w:t>TERMIN REALIZACJI ZAMÓWIENIA</w:t>
      </w:r>
      <w:r w:rsidR="000F1D3F">
        <w:rPr>
          <w:b/>
          <w:bCs/>
          <w:lang w:eastAsia="pl-PL"/>
        </w:rPr>
        <w:t>.</w:t>
      </w:r>
    </w:p>
    <w:p w:rsidR="003973B1" w:rsidRPr="00864374" w:rsidRDefault="00A807AD" w:rsidP="003973B1">
      <w:pPr>
        <w:spacing w:after="0" w:line="290" w:lineRule="atLeast"/>
        <w:jc w:val="both"/>
        <w:rPr>
          <w:szCs w:val="20"/>
        </w:rPr>
      </w:pPr>
      <w:r w:rsidRPr="00864374">
        <w:rPr>
          <w:szCs w:val="20"/>
        </w:rPr>
        <w:t>Umowa zostanie zawarta na okres ube</w:t>
      </w:r>
      <w:r w:rsidR="003A7BE2">
        <w:rPr>
          <w:szCs w:val="20"/>
        </w:rPr>
        <w:t>zpieczenia wynoszący 24 miesiące</w:t>
      </w:r>
      <w:r w:rsidRPr="00864374">
        <w:rPr>
          <w:szCs w:val="20"/>
        </w:rPr>
        <w:t>, od dnia 1 września 2021 r. do dnia 31 sierpnia 2023 r. z tym, że okres ten zostanie podzielony na dwa dwunastomiesięczne okresy rozliczeniowe: pierwszy od dnia 1 września 2021 r. do dnia 31 sierpnia 2022 r., drugi od dnia</w:t>
      </w:r>
    </w:p>
    <w:p w:rsidR="00A12EFB" w:rsidRPr="00864374" w:rsidRDefault="00A807AD" w:rsidP="003973B1">
      <w:pPr>
        <w:spacing w:after="0" w:line="290" w:lineRule="atLeast"/>
        <w:jc w:val="both"/>
        <w:rPr>
          <w:sz w:val="24"/>
        </w:rPr>
      </w:pPr>
      <w:r w:rsidRPr="00864374">
        <w:rPr>
          <w:szCs w:val="20"/>
        </w:rPr>
        <w:t xml:space="preserve">1 </w:t>
      </w:r>
      <w:r w:rsidR="00EC2751">
        <w:rPr>
          <w:szCs w:val="20"/>
        </w:rPr>
        <w:t xml:space="preserve">września </w:t>
      </w:r>
      <w:r w:rsidRPr="00864374">
        <w:rPr>
          <w:szCs w:val="20"/>
        </w:rPr>
        <w:t>2022 r. do dnia 31 sierpnia 2023 r.</w:t>
      </w:r>
    </w:p>
    <w:p w:rsidR="00A12EFB" w:rsidRPr="00864374" w:rsidRDefault="00A12EFB" w:rsidP="003973B1">
      <w:pPr>
        <w:spacing w:after="0" w:line="290" w:lineRule="atLeast"/>
        <w:ind w:left="720"/>
        <w:jc w:val="both"/>
      </w:pPr>
    </w:p>
    <w:p w:rsidR="00A76E88" w:rsidRPr="00864374" w:rsidRDefault="00A12EFB" w:rsidP="005D54FF">
      <w:pPr>
        <w:numPr>
          <w:ilvl w:val="0"/>
          <w:numId w:val="7"/>
        </w:numPr>
        <w:spacing w:after="0" w:line="290" w:lineRule="atLeast"/>
        <w:ind w:left="426" w:hanging="426"/>
      </w:pPr>
      <w:r w:rsidRPr="00864374">
        <w:rPr>
          <w:b/>
          <w:bCs/>
        </w:rPr>
        <w:t>PODSTAWY WYKLUCZENIA Z POSTĘPOWANIA.</w:t>
      </w:r>
    </w:p>
    <w:p w:rsidR="00A12EFB" w:rsidRDefault="00A12EFB" w:rsidP="007A7F0A">
      <w:pPr>
        <w:spacing w:after="0" w:line="290" w:lineRule="atLeast"/>
        <w:jc w:val="both"/>
        <w:rPr>
          <w:bCs/>
        </w:rPr>
      </w:pPr>
      <w:r w:rsidRPr="00864374">
        <w:rPr>
          <w:bCs/>
          <w:spacing w:val="-2"/>
        </w:rPr>
        <w:t>Z postępowania wykluczeni zostaną wykonawcy, wobec których zaistnieje chociażby jedna</w:t>
      </w:r>
      <w:r w:rsidR="001F2E65" w:rsidRPr="00864374">
        <w:rPr>
          <w:bCs/>
          <w:spacing w:val="-2"/>
        </w:rPr>
        <w:t xml:space="preserve"> </w:t>
      </w:r>
      <w:r w:rsidRPr="00864374">
        <w:rPr>
          <w:bCs/>
          <w:spacing w:val="-2"/>
        </w:rPr>
        <w:t>z przesłanek</w:t>
      </w:r>
      <w:r w:rsidRPr="00864374">
        <w:rPr>
          <w:bCs/>
        </w:rPr>
        <w:t xml:space="preserve"> wykluczenia, o któr</w:t>
      </w:r>
      <w:r w:rsidR="00063BE4" w:rsidRPr="00864374">
        <w:rPr>
          <w:bCs/>
        </w:rPr>
        <w:t xml:space="preserve">ych mowa w art. 108 ust. 1 </w:t>
      </w:r>
      <w:proofErr w:type="spellStart"/>
      <w:r w:rsidR="00063BE4" w:rsidRPr="00864374">
        <w:rPr>
          <w:bCs/>
        </w:rPr>
        <w:t>Pzp</w:t>
      </w:r>
      <w:proofErr w:type="spellEnd"/>
      <w:r w:rsidR="00063BE4" w:rsidRPr="00864374">
        <w:rPr>
          <w:bCs/>
        </w:rPr>
        <w:t>.</w:t>
      </w:r>
    </w:p>
    <w:p w:rsidR="000050A8" w:rsidRPr="007A7F0A" w:rsidRDefault="000050A8" w:rsidP="007A7F0A">
      <w:pPr>
        <w:spacing w:after="0" w:line="290" w:lineRule="atLeast"/>
        <w:jc w:val="both"/>
        <w:rPr>
          <w:bCs/>
        </w:rPr>
      </w:pPr>
    </w:p>
    <w:p w:rsidR="00A76E88" w:rsidRPr="00864374" w:rsidRDefault="00A12EFB" w:rsidP="005D54FF">
      <w:pPr>
        <w:numPr>
          <w:ilvl w:val="0"/>
          <w:numId w:val="7"/>
        </w:numPr>
        <w:spacing w:after="0" w:line="290" w:lineRule="atLeast"/>
        <w:ind w:left="426" w:hanging="426"/>
      </w:pPr>
      <w:r w:rsidRPr="00864374">
        <w:rPr>
          <w:b/>
          <w:bCs/>
        </w:rPr>
        <w:lastRenderedPageBreak/>
        <w:t>INFORMACJE O WARUNKACH UDZIAŁU W POSTĘPOWANIU.</w:t>
      </w:r>
    </w:p>
    <w:p w:rsidR="00A12EFB" w:rsidRPr="00864374" w:rsidRDefault="00A12EFB" w:rsidP="005D54FF">
      <w:pPr>
        <w:spacing w:after="0" w:line="290" w:lineRule="atLeast"/>
        <w:jc w:val="both"/>
      </w:pPr>
      <w:r w:rsidRPr="00864374">
        <w:t>O udzielenie zamówienia mogą ubiegać się wykonawcy, którzy spełniają warunki udziału</w:t>
      </w:r>
      <w:r w:rsidR="001F2E65" w:rsidRPr="00864374">
        <w:br/>
      </w:r>
      <w:r w:rsidRPr="00864374">
        <w:t>w postępowaniu dotyczące:</w:t>
      </w:r>
    </w:p>
    <w:p w:rsidR="00A12EFB" w:rsidRPr="00864374" w:rsidRDefault="00500292" w:rsidP="005D54FF">
      <w:pPr>
        <w:numPr>
          <w:ilvl w:val="0"/>
          <w:numId w:val="11"/>
        </w:numPr>
        <w:spacing w:after="0" w:line="290" w:lineRule="atLeast"/>
      </w:pPr>
      <w:r w:rsidRPr="00864374">
        <w:t>zdolności do występowania w obrocie gospodarczym</w:t>
      </w:r>
    </w:p>
    <w:p w:rsidR="00500292" w:rsidRPr="00864374" w:rsidRDefault="00500292" w:rsidP="005D54FF">
      <w:pPr>
        <w:spacing w:after="0" w:line="290" w:lineRule="atLeast"/>
        <w:ind w:left="720"/>
        <w:jc w:val="both"/>
      </w:pPr>
      <w:r w:rsidRPr="00864374">
        <w:t>(zamawiający nie określa wymagań w tym zakresie)</w:t>
      </w:r>
    </w:p>
    <w:p w:rsidR="00500292" w:rsidRPr="00864374" w:rsidRDefault="00500292" w:rsidP="005D54FF">
      <w:pPr>
        <w:numPr>
          <w:ilvl w:val="0"/>
          <w:numId w:val="11"/>
        </w:numPr>
        <w:spacing w:after="0" w:line="290" w:lineRule="atLeast"/>
        <w:jc w:val="both"/>
      </w:pPr>
      <w:r w:rsidRPr="00864374">
        <w:t>uprawnień do prowadzenia określonej działalności gospodarczej lub zawodowej,</w:t>
      </w:r>
    </w:p>
    <w:p w:rsidR="00500292" w:rsidRDefault="00500292" w:rsidP="00B745C5">
      <w:pPr>
        <w:spacing w:after="0" w:line="290" w:lineRule="atLeast"/>
        <w:ind w:left="720"/>
        <w:jc w:val="both"/>
      </w:pPr>
      <w:r w:rsidRPr="00864374">
        <w:t>Warunek ten będzie spełniony, jeże</w:t>
      </w:r>
      <w:r w:rsidR="00A807AD" w:rsidRPr="00864374">
        <w:t xml:space="preserve">li wykonawca </w:t>
      </w:r>
      <w:r w:rsidR="00A807AD" w:rsidRPr="00B745C5">
        <w:t>wykaże</w:t>
      </w:r>
      <w:r w:rsidR="00A807AD" w:rsidRPr="00864374">
        <w:t xml:space="preserve">, że posiada odpowiednie zezwolenie do wykonywania działalności ubezpieczeniowej w myśl przepisów </w:t>
      </w:r>
      <w:r w:rsidR="00B745C5">
        <w:t xml:space="preserve">ustawy z dnia 11 września 2015 r. o działalności ubezpieczeniowej i reasekuracyjnej (Dz. U. z 2020 r, poz. 895 ze zmianami) zwanej dalej </w:t>
      </w:r>
      <w:proofErr w:type="spellStart"/>
      <w:r w:rsidR="00A807AD" w:rsidRPr="00864374">
        <w:t>UDUiR</w:t>
      </w:r>
      <w:proofErr w:type="spellEnd"/>
      <w:r w:rsidR="00A807AD" w:rsidRPr="00864374">
        <w:t xml:space="preserve">, co najmniej w grupie ubezpieczeń 8, 9 i 13 Działu II Załącznika do </w:t>
      </w:r>
      <w:proofErr w:type="spellStart"/>
      <w:r w:rsidR="00A807AD" w:rsidRPr="00864374">
        <w:t>UDUiR</w:t>
      </w:r>
      <w:proofErr w:type="spellEnd"/>
      <w:r w:rsidR="00A807AD" w:rsidRPr="00864374">
        <w:t>.</w:t>
      </w:r>
    </w:p>
    <w:p w:rsidR="00BC12E2" w:rsidRPr="006E3AA1" w:rsidRDefault="00BC12E2" w:rsidP="00BC12E2">
      <w:pPr>
        <w:spacing w:after="0" w:line="290" w:lineRule="atLeast"/>
        <w:ind w:left="720"/>
        <w:jc w:val="both"/>
      </w:pPr>
      <w:r w:rsidRPr="006E3AA1">
        <w:t>Warunek jest spełniony, jeżeli każdy jeden z wykonawców wspólnie ubiegających się o udzielenie zamówienia, posiada uprawnienia do prowadzenia działalności ubezpieczeniowej i zrealizuje umowę ubezpieczenia, do któr</w:t>
      </w:r>
      <w:r w:rsidR="00CE1728" w:rsidRPr="006E3AA1">
        <w:t>ej</w:t>
      </w:r>
      <w:r w:rsidRPr="006E3AA1">
        <w:t xml:space="preserve"> realizacji te uprawnienia są wymagane.</w:t>
      </w:r>
    </w:p>
    <w:p w:rsidR="00500292" w:rsidRPr="006E3AA1" w:rsidRDefault="00500292" w:rsidP="005D54FF">
      <w:pPr>
        <w:numPr>
          <w:ilvl w:val="0"/>
          <w:numId w:val="11"/>
        </w:numPr>
        <w:spacing w:after="0" w:line="290" w:lineRule="atLeast"/>
        <w:jc w:val="both"/>
      </w:pPr>
      <w:r w:rsidRPr="006E3AA1">
        <w:t>sytuacji</w:t>
      </w:r>
      <w:r w:rsidRPr="006E3AA1">
        <w:rPr>
          <w:bCs/>
        </w:rPr>
        <w:t xml:space="preserve"> ekonomicznej lub finansowej:</w:t>
      </w:r>
    </w:p>
    <w:p w:rsidR="00500292" w:rsidRPr="00864374" w:rsidRDefault="00500292" w:rsidP="005D54FF">
      <w:pPr>
        <w:spacing w:after="0" w:line="290" w:lineRule="atLeast"/>
        <w:ind w:left="720"/>
        <w:jc w:val="both"/>
      </w:pPr>
      <w:r w:rsidRPr="006E3AA1">
        <w:t>(zamawiający nie określa wymagań w tym zakresie</w:t>
      </w:r>
      <w:r w:rsidRPr="00864374">
        <w:t>),</w:t>
      </w:r>
    </w:p>
    <w:p w:rsidR="00500292" w:rsidRPr="00864374" w:rsidRDefault="00500292" w:rsidP="005D54FF">
      <w:pPr>
        <w:numPr>
          <w:ilvl w:val="0"/>
          <w:numId w:val="11"/>
        </w:numPr>
        <w:spacing w:after="0" w:line="290" w:lineRule="atLeast"/>
        <w:jc w:val="both"/>
      </w:pPr>
      <w:r w:rsidRPr="00864374">
        <w:rPr>
          <w:bCs/>
        </w:rPr>
        <w:t>zdolności technicznej lub zawodowej</w:t>
      </w:r>
      <w:r w:rsidRPr="00864374">
        <w:t>:</w:t>
      </w:r>
    </w:p>
    <w:p w:rsidR="00500292" w:rsidRPr="00864374" w:rsidRDefault="00500292" w:rsidP="005D54FF">
      <w:pPr>
        <w:spacing w:after="0" w:line="290" w:lineRule="atLeast"/>
        <w:ind w:left="720"/>
        <w:jc w:val="both"/>
      </w:pPr>
      <w:r w:rsidRPr="00864374">
        <w:t>(zamawiający nie określa wymagań w tym zakresie).</w:t>
      </w:r>
    </w:p>
    <w:p w:rsidR="00500292" w:rsidRPr="00864374" w:rsidRDefault="00500292" w:rsidP="0023498C">
      <w:pPr>
        <w:spacing w:after="0" w:line="284" w:lineRule="atLeast"/>
        <w:ind w:left="720"/>
      </w:pPr>
    </w:p>
    <w:p w:rsidR="00A76E88" w:rsidRPr="00864374" w:rsidRDefault="00500292" w:rsidP="0023498C">
      <w:pPr>
        <w:numPr>
          <w:ilvl w:val="0"/>
          <w:numId w:val="7"/>
        </w:numPr>
        <w:spacing w:after="0" w:line="284" w:lineRule="atLeast"/>
        <w:ind w:left="426" w:hanging="426"/>
      </w:pPr>
      <w:r w:rsidRPr="00864374">
        <w:rPr>
          <w:b/>
        </w:rPr>
        <w:t>WYKAZ PODMIOTOWYCH ŚRODKÓW DOWODOWYCH.</w:t>
      </w:r>
    </w:p>
    <w:p w:rsidR="00500292" w:rsidRPr="00864374" w:rsidRDefault="008F3EAB" w:rsidP="0023498C">
      <w:pPr>
        <w:numPr>
          <w:ilvl w:val="1"/>
          <w:numId w:val="7"/>
        </w:numPr>
        <w:spacing w:after="0" w:line="284" w:lineRule="atLeast"/>
        <w:ind w:left="851" w:hanging="425"/>
        <w:jc w:val="both"/>
      </w:pPr>
      <w:r w:rsidRPr="00864374">
        <w:t>Z</w:t>
      </w:r>
      <w:r w:rsidR="00500292" w:rsidRPr="00864374">
        <w:t xml:space="preserve">amawiający wezwie wykonawcę, którego oferta zostanie najwyżej oceniona, do złożenia </w:t>
      </w:r>
      <w:r w:rsidRPr="00864374">
        <w:br/>
      </w:r>
      <w:r w:rsidR="00500292" w:rsidRPr="00864374">
        <w:t>w wyznaczonym terminie, nie krótszym niż 10 dn</w:t>
      </w:r>
      <w:r w:rsidRPr="00864374">
        <w:t xml:space="preserve">i, aktualnych na dzień złożenia </w:t>
      </w:r>
      <w:r w:rsidR="00500292" w:rsidRPr="00864374">
        <w:t>podmiotowych środków dowodowych:</w:t>
      </w:r>
    </w:p>
    <w:p w:rsidR="00500292" w:rsidRPr="00864374" w:rsidRDefault="00500292" w:rsidP="0023498C">
      <w:pPr>
        <w:numPr>
          <w:ilvl w:val="0"/>
          <w:numId w:val="13"/>
        </w:numPr>
        <w:spacing w:after="0" w:line="284" w:lineRule="atLeast"/>
        <w:ind w:left="1276" w:hanging="425"/>
        <w:jc w:val="both"/>
      </w:pPr>
      <w:r w:rsidRPr="00864374">
        <w:t xml:space="preserve">oświadczenia </w:t>
      </w:r>
      <w:r w:rsidRPr="00864374">
        <w:rPr>
          <w:b/>
        </w:rPr>
        <w:t xml:space="preserve">(załącznik nr 2) </w:t>
      </w:r>
      <w:r w:rsidRPr="00864374">
        <w:t>w formie jednolitego europejskiego dokumentu zamówienia, zwanego dalej „</w:t>
      </w:r>
      <w:r w:rsidRPr="00864374">
        <w:rPr>
          <w:b/>
        </w:rPr>
        <w:t>jednolitym dokumentem</w:t>
      </w:r>
      <w:r w:rsidRPr="00864374">
        <w:t>” lub „</w:t>
      </w:r>
      <w:r w:rsidRPr="00864374">
        <w:rPr>
          <w:b/>
        </w:rPr>
        <w:t>JEDZ</w:t>
      </w:r>
      <w:r w:rsidRPr="00864374">
        <w:t>” lub „</w:t>
      </w:r>
      <w:r w:rsidRPr="00864374">
        <w:rPr>
          <w:b/>
        </w:rPr>
        <w:t>ESPD</w:t>
      </w:r>
      <w:r w:rsidRPr="00864374">
        <w:t>”, stanowiącego tymczasowe potwierdzenie, że wykonawca:</w:t>
      </w:r>
    </w:p>
    <w:p w:rsidR="00500292" w:rsidRPr="00864374" w:rsidRDefault="00500292" w:rsidP="0023498C">
      <w:pPr>
        <w:numPr>
          <w:ilvl w:val="0"/>
          <w:numId w:val="14"/>
        </w:numPr>
        <w:spacing w:after="0" w:line="284" w:lineRule="atLeast"/>
        <w:ind w:left="1843" w:hanging="425"/>
        <w:jc w:val="both"/>
      </w:pPr>
      <w:r w:rsidRPr="00864374">
        <w:t>nie podlega wykluczeniu oraz</w:t>
      </w:r>
    </w:p>
    <w:p w:rsidR="00500292" w:rsidRPr="00864374" w:rsidRDefault="00500292" w:rsidP="0023498C">
      <w:pPr>
        <w:numPr>
          <w:ilvl w:val="0"/>
          <w:numId w:val="14"/>
        </w:numPr>
        <w:spacing w:after="0" w:line="284" w:lineRule="atLeast"/>
        <w:ind w:left="1843" w:hanging="425"/>
        <w:jc w:val="both"/>
      </w:pPr>
      <w:r w:rsidRPr="00864374">
        <w:t>spełnia warunki udziału w postępowaniu,</w:t>
      </w:r>
    </w:p>
    <w:p w:rsidR="00A53270" w:rsidRPr="00864374" w:rsidRDefault="00A53270" w:rsidP="00A53270">
      <w:pPr>
        <w:spacing w:after="0" w:line="284" w:lineRule="atLeast"/>
        <w:ind w:left="1418"/>
        <w:jc w:val="both"/>
        <w:rPr>
          <w:b/>
        </w:rPr>
      </w:pPr>
      <w:r w:rsidRPr="00864374">
        <w:rPr>
          <w:b/>
        </w:rPr>
        <w:t>UWAGA: wypełniając JEDZ wykonawca może ograniczyć się do złożenia w sekcji „</w:t>
      </w:r>
      <w:r w:rsidRPr="00864374">
        <w:rPr>
          <w:rFonts w:cs="Arial"/>
          <w:b/>
        </w:rPr>
        <w:t>α” ogólnego oświadczenia dotyczącego kryteriów kwalifikacji.</w:t>
      </w:r>
    </w:p>
    <w:p w:rsidR="00500292" w:rsidRPr="00864374" w:rsidRDefault="003973B1" w:rsidP="0023498C">
      <w:pPr>
        <w:numPr>
          <w:ilvl w:val="0"/>
          <w:numId w:val="13"/>
        </w:numPr>
        <w:spacing w:after="0" w:line="284" w:lineRule="atLeast"/>
        <w:ind w:left="1276" w:hanging="425"/>
        <w:jc w:val="both"/>
      </w:pPr>
      <w:r w:rsidRPr="00864374">
        <w:t>i</w:t>
      </w:r>
      <w:r w:rsidR="00500292" w:rsidRPr="00864374">
        <w:t xml:space="preserve">nformacji z Krajowego Rejestru Karnego w zakresie art. 108 ust. 1 pkt 1, 2 i 4 </w:t>
      </w:r>
      <w:proofErr w:type="spellStart"/>
      <w:r w:rsidR="00500292" w:rsidRPr="00864374">
        <w:t>Pzp</w:t>
      </w:r>
      <w:proofErr w:type="spellEnd"/>
      <w:r w:rsidR="00500292" w:rsidRPr="00864374">
        <w:t xml:space="preserve"> – sporządzonej nie wcześniej niż 6 miesięcy przed jej złożeniem,</w:t>
      </w:r>
    </w:p>
    <w:p w:rsidR="00500292" w:rsidRPr="00864374" w:rsidRDefault="00500292" w:rsidP="0023498C">
      <w:pPr>
        <w:numPr>
          <w:ilvl w:val="0"/>
          <w:numId w:val="13"/>
        </w:numPr>
        <w:spacing w:after="0" w:line="284" w:lineRule="atLeast"/>
        <w:ind w:left="1276" w:hanging="425"/>
        <w:jc w:val="both"/>
      </w:pPr>
      <w:r w:rsidRPr="00864374">
        <w:t xml:space="preserve">oświadczenia wykonawcy, w zakresie art. 108 ust. 1 pkt 5 </w:t>
      </w:r>
      <w:proofErr w:type="spellStart"/>
      <w:r w:rsidRPr="00864374">
        <w:t>Pzp</w:t>
      </w:r>
      <w:proofErr w:type="spellEnd"/>
      <w:r w:rsidRPr="00864374">
        <w:t>, o braku przynależności do tej samej grupy kapitałowej, w rozumieniu ustawy z dnia 16 lutego 2007 r. o ochronie konkurencji i konsumentów (Dz. U. z 2020 r. poz. 1076 i 1086), z innym wykonawcą, który złożył odrębną ofertę, ofertę częściową, albo oświadczenia o przynależności do tej samej grupy kapitałowej wraz z dokumentami lub informacjami potwierdzającymi przygotowanie oferty, oferty częściowej, niezależnie od innego Wykonawcy należącego do tej samej grupy kapitałowej (zgodnie z załącznikiem nr 3 do SWZ),</w:t>
      </w:r>
    </w:p>
    <w:p w:rsidR="00500292" w:rsidRPr="00864374" w:rsidRDefault="00500292" w:rsidP="0023498C">
      <w:pPr>
        <w:numPr>
          <w:ilvl w:val="0"/>
          <w:numId w:val="13"/>
        </w:numPr>
        <w:spacing w:after="0" w:line="284" w:lineRule="atLeast"/>
        <w:ind w:left="1276" w:hanging="425"/>
        <w:jc w:val="both"/>
      </w:pPr>
      <w:r w:rsidRPr="00864374">
        <w:t>oświadczenia wykonawcy o aktualności informacji zawartych w JEDZ, w zakresie podstaw wykluczenia z postępowania, o których mowa w art. 108 ust. 1 pkt 3, 4</w:t>
      </w:r>
      <w:r w:rsidR="00292B41" w:rsidRPr="00864374">
        <w:t>,</w:t>
      </w:r>
      <w:r w:rsidRPr="00864374">
        <w:t xml:space="preserve"> 5 i 6 </w:t>
      </w:r>
      <w:proofErr w:type="spellStart"/>
      <w:r w:rsidRPr="00864374">
        <w:t>Pzp</w:t>
      </w:r>
      <w:proofErr w:type="spellEnd"/>
      <w:r w:rsidRPr="00864374">
        <w:t xml:space="preserve"> (zgodnie z załącznikiem nr 4 do SWZ),</w:t>
      </w:r>
    </w:p>
    <w:p w:rsidR="00500292" w:rsidRPr="00864374" w:rsidRDefault="003973B1" w:rsidP="0023498C">
      <w:pPr>
        <w:numPr>
          <w:ilvl w:val="0"/>
          <w:numId w:val="13"/>
        </w:numPr>
        <w:spacing w:after="0" w:line="284" w:lineRule="atLeast"/>
        <w:ind w:left="1276" w:hanging="425"/>
        <w:jc w:val="both"/>
      </w:pPr>
      <w:r w:rsidRPr="00864374">
        <w:t xml:space="preserve">zezwolenia właściwego organu na wykonywanie działalności ubezpieczeniowej, co najmniej w grupie ubezpieczeń 8, 9 i 13 Działu II Załącznika do </w:t>
      </w:r>
      <w:proofErr w:type="spellStart"/>
      <w:r w:rsidRPr="00864374">
        <w:t>UDUiR</w:t>
      </w:r>
      <w:proofErr w:type="spellEnd"/>
      <w:r w:rsidRPr="00864374">
        <w:t xml:space="preserve">, a gdy zezwolenie nie jest wymagane na podstawie odrębnych przepisów, zaświadczenie właściwego organu nadzoru, potwierdzające, że wykonawca wykonuje działalność ubezpieczeniową w wymaganym zakresie. W przypadku, gdy zezwolenie bądź zaświadczenie na podstawie odrębnych przepisów nie jest wymagane, wykonawca obowiązany jest wykazać, że </w:t>
      </w:r>
      <w:r w:rsidRPr="00864374">
        <w:lastRenderedPageBreak/>
        <w:t>spełnia warunek udziału w postępowaniu wskazany w Rozdziale 11, przedkładając odpowiednie środki dowodowe, na przykład dokumenty lub oświadczenia złożone przez wykonawcę, potwierdzające, że posiada uprawnienia do wykonywania działalności ubezpieczeniowej w wymaganym zakresie wraz z przytoczeniem podstawy prawnej.</w:t>
      </w:r>
    </w:p>
    <w:p w:rsidR="00500292" w:rsidRPr="00864374" w:rsidRDefault="00500292" w:rsidP="0023498C">
      <w:pPr>
        <w:numPr>
          <w:ilvl w:val="1"/>
          <w:numId w:val="7"/>
        </w:numPr>
        <w:spacing w:after="0" w:line="284" w:lineRule="atLeast"/>
        <w:ind w:left="851" w:hanging="425"/>
        <w:jc w:val="both"/>
      </w:pPr>
      <w:r w:rsidRPr="00864374">
        <w:t xml:space="preserve">Jeżeli wykonawca ma siedzibę lub miejsce zamieszkania poza granicami Rzeczypospolitej Polskiej, zamiast informacji z Krajowego Rejestru Karnego, o której mowa w pkt 7.1. </w:t>
      </w:r>
      <w:proofErr w:type="spellStart"/>
      <w:r w:rsidRPr="00864374">
        <w:t>ppkt</w:t>
      </w:r>
      <w:proofErr w:type="spellEnd"/>
      <w:r w:rsidRPr="00864374">
        <w:t xml:space="preserve"> 2 SWZ – składa informację z odpowiedniego rejestru, takiego jak rejestr sądowy, albo, w przypadku braku takiego rejestru, inny równoważny dokument wydany przez właściwy organ sądowy lub administracyjny kraju, w którym wykonawca ma siedzibę lub miejsce zamieszkania, w zakresie, o którym mowa w pkt 7.1. </w:t>
      </w:r>
      <w:proofErr w:type="spellStart"/>
      <w:r w:rsidRPr="00864374">
        <w:t>ppkt</w:t>
      </w:r>
      <w:proofErr w:type="spellEnd"/>
      <w:r w:rsidRPr="00864374">
        <w:t xml:space="preserve"> 2 SWZ. Jeżeli w kraju, w którym wykonawca ma siedzibę lub miejsce zamieszkania, nie wydaje się takich dokumentów lub gdy dokumenty te nie odnoszą się do wszystkich przypadków, o których mowa w art. 108 ust. 1 pkt 1, 2 i 4, zastępuje się je odpowiednio w całości lub w części dokumentem zawierającym odpowiednio oświadczenie wykonawcy, ze wskazaniem osoby albo osób uprawnionych do jego reprezentacji, lub oświadczenie osoby, której dokument miał dotyczyć, złożone pod przysięgą, lub, jeżeli w kraju, w którym wykonawca ma siedzibę lub miejsce zamieszkania nie ma przepisów o oświadczeniu pod przysięgą, złożone przed organem sądowym lub administracyjnym, notariuszem, organem samorządu zawodowego lub gospodarczego, właściwym ze względu na siedzibę lub miejsce zamieszkania wykonawcy – wystawiony nie wcześniej niż 6 miesięcy przed jego złożeniem.</w:t>
      </w:r>
    </w:p>
    <w:p w:rsidR="00500292" w:rsidRPr="00E211C3" w:rsidRDefault="00500292" w:rsidP="0023498C">
      <w:pPr>
        <w:numPr>
          <w:ilvl w:val="1"/>
          <w:numId w:val="7"/>
        </w:numPr>
        <w:spacing w:after="0" w:line="284" w:lineRule="atLeast"/>
        <w:ind w:left="851" w:hanging="425"/>
        <w:jc w:val="both"/>
      </w:pPr>
      <w:r w:rsidRPr="00E211C3">
        <w:t>W przypadku wykonawców wspólnie ubiegających się o udzielenie zamówienia:</w:t>
      </w:r>
    </w:p>
    <w:p w:rsidR="00500292" w:rsidRPr="00E211C3" w:rsidRDefault="00500292" w:rsidP="0023498C">
      <w:pPr>
        <w:numPr>
          <w:ilvl w:val="0"/>
          <w:numId w:val="15"/>
        </w:numPr>
        <w:spacing w:after="0" w:line="284" w:lineRule="atLeast"/>
        <w:ind w:left="1276" w:hanging="425"/>
        <w:jc w:val="both"/>
      </w:pPr>
      <w:r w:rsidRPr="00E211C3">
        <w:t xml:space="preserve">oświadczenia i dokumenty, o których mowa w pkt 7.1. </w:t>
      </w:r>
      <w:proofErr w:type="spellStart"/>
      <w:r w:rsidRPr="00E211C3">
        <w:t>ppkt</w:t>
      </w:r>
      <w:proofErr w:type="spellEnd"/>
      <w:r w:rsidRPr="00E211C3">
        <w:t xml:space="preserve"> 1-4 SWZ, będzie musiał złożyć każdy z wykonawców,</w:t>
      </w:r>
    </w:p>
    <w:p w:rsidR="00500292" w:rsidRPr="00E211C3" w:rsidRDefault="00500292" w:rsidP="00BC12E2">
      <w:pPr>
        <w:numPr>
          <w:ilvl w:val="0"/>
          <w:numId w:val="15"/>
        </w:numPr>
        <w:spacing w:after="0" w:line="284" w:lineRule="atLeast"/>
        <w:ind w:left="1276" w:hanging="425"/>
        <w:jc w:val="both"/>
      </w:pPr>
      <w:r w:rsidRPr="00E211C3">
        <w:t>dokument, o który</w:t>
      </w:r>
      <w:r w:rsidR="00456556" w:rsidRPr="00E211C3">
        <w:t>m</w:t>
      </w:r>
      <w:r w:rsidRPr="00E211C3">
        <w:t xml:space="preserve"> mowa w pkt 7.1. </w:t>
      </w:r>
      <w:proofErr w:type="spellStart"/>
      <w:r w:rsidRPr="00E211C3">
        <w:t>ppkt</w:t>
      </w:r>
      <w:proofErr w:type="spellEnd"/>
      <w:r w:rsidRPr="00E211C3">
        <w:t xml:space="preserve"> 5</w:t>
      </w:r>
      <w:r w:rsidR="00456556" w:rsidRPr="00E211C3">
        <w:t xml:space="preserve"> </w:t>
      </w:r>
      <w:r w:rsidRPr="00E211C3">
        <w:t xml:space="preserve">SWZ będzie musiał złożyć </w:t>
      </w:r>
      <w:r w:rsidR="000C5625" w:rsidRPr="00E211C3">
        <w:t>każdy jeden z wykonawców wspólnie ubiegających się o udzielenie zamówienia</w:t>
      </w:r>
      <w:r w:rsidRPr="00E211C3">
        <w:t xml:space="preserve">, który </w:t>
      </w:r>
      <w:r w:rsidR="000C5625" w:rsidRPr="00E211C3">
        <w:t>zrealizuje umowę ubezpieczenia, do której realizacji te uprawnienia są wymagane</w:t>
      </w:r>
      <w:r w:rsidR="00EA7F33" w:rsidRPr="00E211C3">
        <w:t>.</w:t>
      </w:r>
      <w:r w:rsidR="00BC12E2" w:rsidRPr="00E211C3">
        <w:t xml:space="preserve"> </w:t>
      </w:r>
    </w:p>
    <w:p w:rsidR="00A76E88" w:rsidRPr="00045E46" w:rsidRDefault="00A76E88" w:rsidP="0060433E">
      <w:pPr>
        <w:spacing w:after="0" w:line="240" w:lineRule="auto"/>
        <w:ind w:left="426"/>
        <w:rPr>
          <w:color w:val="1F3864" w:themeColor="accent1" w:themeShade="80"/>
        </w:rPr>
      </w:pPr>
    </w:p>
    <w:p w:rsidR="00A76E88" w:rsidRPr="00864374" w:rsidRDefault="00500292" w:rsidP="0060433E">
      <w:pPr>
        <w:numPr>
          <w:ilvl w:val="0"/>
          <w:numId w:val="7"/>
        </w:numPr>
        <w:spacing w:after="0" w:line="240" w:lineRule="auto"/>
        <w:ind w:left="426" w:hanging="426"/>
      </w:pPr>
      <w:r w:rsidRPr="00864374">
        <w:rPr>
          <w:b/>
          <w:bCs/>
          <w:lang w:eastAsia="pl-PL"/>
        </w:rPr>
        <w:t>KOMUNIKACJA ZAMAWIAJĄCEGO Z WYKONAWCAMI.</w:t>
      </w:r>
    </w:p>
    <w:p w:rsidR="00500292" w:rsidRPr="00864374" w:rsidRDefault="00500292" w:rsidP="0049140C">
      <w:pPr>
        <w:numPr>
          <w:ilvl w:val="1"/>
          <w:numId w:val="7"/>
        </w:numPr>
        <w:spacing w:after="0" w:line="240" w:lineRule="auto"/>
        <w:ind w:left="851" w:hanging="425"/>
        <w:jc w:val="both"/>
      </w:pPr>
      <w:r w:rsidRPr="00864374">
        <w:t>Komunikacja w postępowaniu między zamawiającym a wykonawcą, z uwzględnieniem wyjątków określonych w ustawie, odbywa się przy użyciu środków komunikacji elektronicznej.</w:t>
      </w:r>
    </w:p>
    <w:p w:rsidR="00500292" w:rsidRPr="00864374" w:rsidRDefault="00500292" w:rsidP="0049140C">
      <w:pPr>
        <w:numPr>
          <w:ilvl w:val="1"/>
          <w:numId w:val="7"/>
        </w:numPr>
        <w:spacing w:after="0" w:line="240" w:lineRule="auto"/>
        <w:ind w:left="851" w:hanging="425"/>
        <w:jc w:val="both"/>
      </w:pPr>
      <w:r w:rsidRPr="00864374">
        <w:rPr>
          <w:lang w:eastAsia="pl-PL"/>
        </w:rPr>
        <w:t>W postępowaniu komunikacja między zamawiającym a wykonawcą odbywa się przy użyciu:</w:t>
      </w:r>
    </w:p>
    <w:p w:rsidR="00500292" w:rsidRPr="00864374" w:rsidRDefault="00500292" w:rsidP="0060433E">
      <w:pPr>
        <w:numPr>
          <w:ilvl w:val="0"/>
          <w:numId w:val="16"/>
        </w:numPr>
        <w:spacing w:after="0" w:line="240" w:lineRule="auto"/>
        <w:ind w:left="1276" w:hanging="425"/>
        <w:jc w:val="both"/>
      </w:pPr>
      <w:r w:rsidRPr="00864374">
        <w:rPr>
          <w:lang w:eastAsia="pl-PL"/>
        </w:rPr>
        <w:t xml:space="preserve">poczty elektronicznej, e-mail zamawiającego: </w:t>
      </w:r>
      <w:hyperlink r:id="rId10" w:history="1">
        <w:r w:rsidR="003467EA" w:rsidRPr="00463B90">
          <w:rPr>
            <w:rStyle w:val="Hipercze"/>
            <w:color w:val="2F5496" w:themeColor="accent1" w:themeShade="BF"/>
            <w:lang w:val="de-DE"/>
          </w:rPr>
          <w:t>przetargi@rzzo.com.pl</w:t>
        </w:r>
      </w:hyperlink>
    </w:p>
    <w:p w:rsidR="00500292" w:rsidRPr="00864374" w:rsidRDefault="00500292" w:rsidP="0060433E">
      <w:pPr>
        <w:numPr>
          <w:ilvl w:val="0"/>
          <w:numId w:val="16"/>
        </w:numPr>
        <w:spacing w:after="0" w:line="240" w:lineRule="auto"/>
        <w:ind w:left="1276" w:hanging="425"/>
        <w:jc w:val="both"/>
      </w:pPr>
      <w:proofErr w:type="spellStart"/>
      <w:r w:rsidRPr="00864374">
        <w:rPr>
          <w:lang w:eastAsia="pl-PL"/>
        </w:rPr>
        <w:t>miniPortalu</w:t>
      </w:r>
      <w:proofErr w:type="spellEnd"/>
      <w:r w:rsidRPr="00864374">
        <w:rPr>
          <w:lang w:eastAsia="pl-PL"/>
        </w:rPr>
        <w:t xml:space="preserve">, który dostępny jest pod adresem: </w:t>
      </w:r>
      <w:hyperlink r:id="rId11" w:history="1">
        <w:r w:rsidRPr="00463B90">
          <w:rPr>
            <w:rStyle w:val="Hipercze"/>
            <w:color w:val="2F5496" w:themeColor="accent1" w:themeShade="BF"/>
            <w:lang w:eastAsia="pl-PL"/>
          </w:rPr>
          <w:t>https://miniportal.uzp.gov.pl/</w:t>
        </w:r>
      </w:hyperlink>
    </w:p>
    <w:p w:rsidR="00500292" w:rsidRPr="00864374" w:rsidRDefault="00500292" w:rsidP="0060433E">
      <w:pPr>
        <w:numPr>
          <w:ilvl w:val="0"/>
          <w:numId w:val="16"/>
        </w:numPr>
        <w:spacing w:after="0" w:line="240" w:lineRule="auto"/>
        <w:ind w:left="1276" w:hanging="425"/>
        <w:jc w:val="both"/>
        <w:rPr>
          <w:rFonts w:asciiTheme="minorHAnsi" w:hAnsiTheme="minorHAnsi" w:cstheme="minorHAnsi"/>
        </w:rPr>
      </w:pPr>
      <w:proofErr w:type="spellStart"/>
      <w:r w:rsidRPr="00864374">
        <w:rPr>
          <w:rFonts w:asciiTheme="minorHAnsi" w:hAnsiTheme="minorHAnsi" w:cstheme="minorHAnsi"/>
          <w:lang w:eastAsia="pl-PL"/>
        </w:rPr>
        <w:t>ePUAPu</w:t>
      </w:r>
      <w:proofErr w:type="spellEnd"/>
      <w:r w:rsidRPr="00864374">
        <w:rPr>
          <w:rFonts w:asciiTheme="minorHAnsi" w:hAnsiTheme="minorHAnsi" w:cstheme="minorHAnsi"/>
          <w:lang w:eastAsia="pl-PL"/>
        </w:rPr>
        <w:t>, do</w:t>
      </w:r>
      <w:r w:rsidR="00F15183" w:rsidRPr="00864374">
        <w:rPr>
          <w:rFonts w:asciiTheme="minorHAnsi" w:hAnsiTheme="minorHAnsi" w:cstheme="minorHAnsi"/>
          <w:lang w:eastAsia="pl-PL"/>
        </w:rPr>
        <w:t>stępnego pod adresem</w:t>
      </w:r>
      <w:r w:rsidR="009D4F84" w:rsidRPr="00864374">
        <w:rPr>
          <w:rFonts w:asciiTheme="minorHAnsi" w:hAnsiTheme="minorHAnsi" w:cstheme="minorHAnsi"/>
          <w:lang w:eastAsia="pl-PL"/>
        </w:rPr>
        <w:t xml:space="preserve"> </w:t>
      </w:r>
      <w:hyperlink r:id="rId12" w:history="1">
        <w:r w:rsidR="009D4F84" w:rsidRPr="00463B90">
          <w:rPr>
            <w:rStyle w:val="Hipercze"/>
            <w:color w:val="2F5496" w:themeColor="accent1" w:themeShade="BF"/>
          </w:rPr>
          <w:t>https://epuap.gov.pl/wps/portal</w:t>
        </w:r>
      </w:hyperlink>
      <w:r w:rsidR="009D4F84" w:rsidRPr="00864374">
        <w:t>,</w:t>
      </w:r>
      <w:r w:rsidR="009D4F84" w:rsidRPr="00864374">
        <w:rPr>
          <w:rStyle w:val="Hipercze"/>
          <w:color w:val="auto"/>
          <w:u w:val="none"/>
        </w:rPr>
        <w:t xml:space="preserve"> </w:t>
      </w:r>
      <w:r w:rsidR="009D4F84" w:rsidRPr="00864374">
        <w:rPr>
          <w:rFonts w:asciiTheme="minorHAnsi" w:hAnsiTheme="minorHAnsi" w:cstheme="minorHAnsi"/>
          <w:lang w:eastAsia="pl-PL"/>
        </w:rPr>
        <w:t xml:space="preserve">adres skrytki zamawiającego: </w:t>
      </w:r>
      <w:r w:rsidR="00F15183" w:rsidRPr="00864374">
        <w:rPr>
          <w:rFonts w:asciiTheme="minorHAnsi" w:hAnsiTheme="minorHAnsi" w:cstheme="minorHAnsi"/>
          <w:shd w:val="clear" w:color="auto" w:fill="FFFFFF"/>
        </w:rPr>
        <w:t>/RZZO/</w:t>
      </w:r>
      <w:proofErr w:type="spellStart"/>
      <w:r w:rsidR="00F15183" w:rsidRPr="00864374">
        <w:rPr>
          <w:rFonts w:asciiTheme="minorHAnsi" w:hAnsiTheme="minorHAnsi" w:cstheme="minorHAnsi"/>
          <w:shd w:val="clear" w:color="auto" w:fill="FFFFFF"/>
        </w:rPr>
        <w:t>SkrytkaESP</w:t>
      </w:r>
      <w:proofErr w:type="spellEnd"/>
      <w:r w:rsidR="00234480" w:rsidRPr="00864374">
        <w:rPr>
          <w:rFonts w:asciiTheme="minorHAnsi" w:hAnsiTheme="minorHAnsi" w:cstheme="minorHAnsi"/>
          <w:shd w:val="clear" w:color="auto" w:fill="FFFFFF"/>
        </w:rPr>
        <w:t xml:space="preserve"> </w:t>
      </w:r>
      <w:r w:rsidR="009D4F84" w:rsidRPr="00864374">
        <w:rPr>
          <w:rFonts w:asciiTheme="minorHAnsi" w:hAnsiTheme="minorHAnsi" w:cstheme="minorHAnsi"/>
          <w:shd w:val="clear" w:color="auto" w:fill="FFFFFF"/>
        </w:rPr>
        <w:t>(w</w:t>
      </w:r>
      <w:r w:rsidR="009D4F84" w:rsidRPr="00864374">
        <w:t>ypełniając f</w:t>
      </w:r>
      <w:r w:rsidR="009D4F84" w:rsidRPr="00864374">
        <w:rPr>
          <w:bCs/>
        </w:rPr>
        <w:t xml:space="preserve">ormularz </w:t>
      </w:r>
      <w:r w:rsidR="009D4F84" w:rsidRPr="00864374">
        <w:t>do złożenia, zmiany,</w:t>
      </w:r>
      <w:r w:rsidR="009D4F84" w:rsidRPr="00864374">
        <w:rPr>
          <w:lang w:eastAsia="pl-PL"/>
        </w:rPr>
        <w:t xml:space="preserve"> </w:t>
      </w:r>
      <w:r w:rsidR="009D4F84" w:rsidRPr="00864374">
        <w:t>wycofania oferty oraz formularz do komunikacji</w:t>
      </w:r>
      <w:r w:rsidR="009D4F84" w:rsidRPr="00864374">
        <w:rPr>
          <w:bCs/>
        </w:rPr>
        <w:t xml:space="preserve"> </w:t>
      </w:r>
      <w:r w:rsidR="009D4F84" w:rsidRPr="00864374">
        <w:t xml:space="preserve">w miejscu „wpisz dane odbiorcy” należy wpisać: </w:t>
      </w:r>
      <w:r w:rsidR="009D4F84" w:rsidRPr="00864374">
        <w:rPr>
          <w:rFonts w:asciiTheme="minorHAnsi" w:hAnsiTheme="minorHAnsi" w:cstheme="minorHAnsi"/>
          <w:b/>
          <w:shd w:val="clear" w:color="auto" w:fill="FFFFFF"/>
        </w:rPr>
        <w:t>Regionalny Zakład Zagospodarowania Odpadów</w:t>
      </w:r>
      <w:r w:rsidR="009D4F84" w:rsidRPr="00864374">
        <w:rPr>
          <w:rFonts w:asciiTheme="minorHAnsi" w:hAnsiTheme="minorHAnsi" w:cstheme="minorHAnsi"/>
          <w:shd w:val="clear" w:color="auto" w:fill="FFFFFF"/>
        </w:rPr>
        <w:t>).</w:t>
      </w:r>
    </w:p>
    <w:p w:rsidR="00500292" w:rsidRPr="00864374" w:rsidRDefault="00500292" w:rsidP="0049140C">
      <w:pPr>
        <w:numPr>
          <w:ilvl w:val="1"/>
          <w:numId w:val="7"/>
        </w:numPr>
        <w:spacing w:after="0" w:line="240" w:lineRule="auto"/>
        <w:ind w:left="851" w:hanging="425"/>
        <w:jc w:val="both"/>
      </w:pPr>
      <w:r w:rsidRPr="00864374">
        <w:t xml:space="preserve">We wszelkiej korespondencji związanej z niniejszym postępowaniem zamawiający </w:t>
      </w:r>
      <w:r w:rsidRPr="00864374">
        <w:br/>
        <w:t>i wykonawcy posług</w:t>
      </w:r>
      <w:r w:rsidR="00A53270" w:rsidRPr="00864374">
        <w:t xml:space="preserve">ują się numerem ogłoszenia TED </w:t>
      </w:r>
      <w:r w:rsidRPr="00864374">
        <w:t>lub numerem sprawy (oznaczenie sprawy: w lewym górnym rogu strony).</w:t>
      </w:r>
    </w:p>
    <w:p w:rsidR="00500292" w:rsidRPr="00864374" w:rsidRDefault="009700C0" w:rsidP="0049140C">
      <w:pPr>
        <w:numPr>
          <w:ilvl w:val="1"/>
          <w:numId w:val="7"/>
        </w:numPr>
        <w:spacing w:after="0" w:line="240" w:lineRule="auto"/>
        <w:ind w:left="851" w:hanging="425"/>
        <w:jc w:val="both"/>
      </w:pPr>
      <w:r w:rsidRPr="00864374">
        <w:rPr>
          <w:lang w:eastAsia="pl-PL"/>
        </w:rPr>
        <w:t>Przedmiotowe</w:t>
      </w:r>
      <w:r w:rsidR="00500292" w:rsidRPr="00864374">
        <w:rPr>
          <w:lang w:eastAsia="pl-PL"/>
        </w:rPr>
        <w:t xml:space="preserve"> postępowanie można wyszukać na </w:t>
      </w:r>
      <w:proofErr w:type="spellStart"/>
      <w:r w:rsidRPr="00864374">
        <w:t>miniPortalu</w:t>
      </w:r>
      <w:proofErr w:type="spellEnd"/>
      <w:r w:rsidRPr="00864374">
        <w:t xml:space="preserve"> pod adresem </w:t>
      </w:r>
      <w:hyperlink r:id="rId13" w:history="1">
        <w:r w:rsidRPr="00463B90">
          <w:rPr>
            <w:rStyle w:val="Hipercze"/>
            <w:color w:val="2F5496" w:themeColor="accent1" w:themeShade="BF"/>
          </w:rPr>
          <w:t>https://miniportal.uzp.gov.pl/</w:t>
        </w:r>
      </w:hyperlink>
      <w:r w:rsidRPr="00864374">
        <w:t xml:space="preserve"> na l</w:t>
      </w:r>
      <w:r w:rsidR="00500292" w:rsidRPr="00864374">
        <w:rPr>
          <w:lang w:eastAsia="pl-PL"/>
        </w:rPr>
        <w:t xml:space="preserve">iście wszystkich postępowań </w:t>
      </w:r>
      <w:r w:rsidRPr="00864374">
        <w:rPr>
          <w:lang w:eastAsia="pl-PL"/>
        </w:rPr>
        <w:t>lub wyszukując po numerze ogłoszenia TED</w:t>
      </w:r>
      <w:r w:rsidR="00500292" w:rsidRPr="00864374">
        <w:rPr>
          <w:lang w:eastAsia="pl-PL"/>
        </w:rPr>
        <w:t>.</w:t>
      </w:r>
    </w:p>
    <w:p w:rsidR="00500292" w:rsidRPr="00864374" w:rsidRDefault="00500292" w:rsidP="0049140C">
      <w:pPr>
        <w:numPr>
          <w:ilvl w:val="1"/>
          <w:numId w:val="7"/>
        </w:numPr>
        <w:spacing w:after="0" w:line="240" w:lineRule="auto"/>
        <w:ind w:left="851" w:hanging="425"/>
        <w:jc w:val="both"/>
      </w:pPr>
      <w:r w:rsidRPr="00864374">
        <w:t>Wykonawca zamierzający wziąć udział w postępowaniu o udzielenie zamówienia</w:t>
      </w:r>
      <w:r w:rsidRPr="00864374">
        <w:rPr>
          <w:lang w:eastAsia="pl-PL"/>
        </w:rPr>
        <w:t xml:space="preserve"> </w:t>
      </w:r>
      <w:r w:rsidRPr="00864374">
        <w:t>publiczneg</w:t>
      </w:r>
      <w:r w:rsidR="009700C0" w:rsidRPr="00864374">
        <w:t xml:space="preserve">o, musi posiadać konto na </w:t>
      </w:r>
      <w:proofErr w:type="spellStart"/>
      <w:r w:rsidR="009700C0" w:rsidRPr="00864374">
        <w:t>ePUAP</w:t>
      </w:r>
      <w:proofErr w:type="spellEnd"/>
      <w:r w:rsidR="009700C0" w:rsidRPr="00864374">
        <w:t>,</w:t>
      </w:r>
      <w:r w:rsidRPr="00864374">
        <w:t xml:space="preserve"> </w:t>
      </w:r>
      <w:r w:rsidR="009700C0" w:rsidRPr="00864374">
        <w:t>gdzie</w:t>
      </w:r>
      <w:r w:rsidRPr="00864374">
        <w:t xml:space="preserve"> ma dostęp do</w:t>
      </w:r>
      <w:r w:rsidR="00835331" w:rsidRPr="00864374">
        <w:t>:</w:t>
      </w:r>
      <w:r w:rsidRPr="00864374">
        <w:t xml:space="preserve"> formul</w:t>
      </w:r>
      <w:r w:rsidR="00835331" w:rsidRPr="00864374">
        <w:t>arza do z</w:t>
      </w:r>
      <w:r w:rsidRPr="00864374">
        <w:t>łożen</w:t>
      </w:r>
      <w:r w:rsidR="00835331" w:rsidRPr="00864374">
        <w:t>ia</w:t>
      </w:r>
      <w:r w:rsidRPr="00864374">
        <w:t>, zmian</w:t>
      </w:r>
      <w:r w:rsidR="00835331" w:rsidRPr="00864374">
        <w:t>y</w:t>
      </w:r>
      <w:r w:rsidRPr="00864374">
        <w:t>,</w:t>
      </w:r>
      <w:r w:rsidRPr="00864374">
        <w:rPr>
          <w:lang w:eastAsia="pl-PL"/>
        </w:rPr>
        <w:t xml:space="preserve"> </w:t>
      </w:r>
      <w:r w:rsidRPr="00864374">
        <w:t>wycofani</w:t>
      </w:r>
      <w:r w:rsidR="00835331" w:rsidRPr="00864374">
        <w:t>a</w:t>
      </w:r>
      <w:r w:rsidRPr="00864374">
        <w:t xml:space="preserve"> oferty oraz </w:t>
      </w:r>
      <w:r w:rsidR="00835331" w:rsidRPr="00864374">
        <w:t xml:space="preserve">formularza </w:t>
      </w:r>
      <w:r w:rsidR="00292B41" w:rsidRPr="00864374">
        <w:t xml:space="preserve">do </w:t>
      </w:r>
      <w:r w:rsidRPr="00864374">
        <w:t>komunikacj</w:t>
      </w:r>
      <w:r w:rsidR="00292B41" w:rsidRPr="00864374">
        <w:t>i</w:t>
      </w:r>
      <w:r w:rsidRPr="00864374">
        <w:t>.</w:t>
      </w:r>
      <w:r w:rsidR="00292B41" w:rsidRPr="00864374">
        <w:t xml:space="preserve"> Formularze dostępne są również na </w:t>
      </w:r>
      <w:proofErr w:type="spellStart"/>
      <w:r w:rsidR="00292B41" w:rsidRPr="00864374">
        <w:t>miniPortalu</w:t>
      </w:r>
      <w:proofErr w:type="spellEnd"/>
      <w:r w:rsidR="00292B41" w:rsidRPr="00864374">
        <w:t>.</w:t>
      </w:r>
    </w:p>
    <w:p w:rsidR="00500292" w:rsidRPr="00864374" w:rsidRDefault="00B27554" w:rsidP="0049140C">
      <w:pPr>
        <w:numPr>
          <w:ilvl w:val="1"/>
          <w:numId w:val="7"/>
        </w:numPr>
        <w:spacing w:after="0" w:line="240" w:lineRule="auto"/>
        <w:ind w:left="851" w:hanging="425"/>
        <w:jc w:val="both"/>
      </w:pPr>
      <w:r w:rsidRPr="00864374">
        <w:lastRenderedPageBreak/>
        <w:t xml:space="preserve">Dokumenty elektroniczne (inne niż oferta oraz załączniki do oferty), cyfrowe odwzorowania dokumentów oraz inne informacje składane są przez wykonawcę za pomocą poczty elektronicznej lub za pośrednictwem </w:t>
      </w:r>
      <w:r w:rsidR="00292B41" w:rsidRPr="00864374">
        <w:rPr>
          <w:i/>
        </w:rPr>
        <w:t>f</w:t>
      </w:r>
      <w:r w:rsidRPr="00864374">
        <w:rPr>
          <w:i/>
          <w:iCs/>
        </w:rPr>
        <w:t xml:space="preserve">ormularza do komunikacji </w:t>
      </w:r>
      <w:r w:rsidR="00A85FB1" w:rsidRPr="00864374">
        <w:rPr>
          <w:iCs/>
        </w:rPr>
        <w:t>(</w:t>
      </w:r>
      <w:r w:rsidR="00292B41" w:rsidRPr="00864374">
        <w:rPr>
          <w:iCs/>
        </w:rPr>
        <w:t>dostępnego</w:t>
      </w:r>
      <w:r w:rsidR="00292B41" w:rsidRPr="00864374">
        <w:rPr>
          <w:i/>
          <w:iCs/>
        </w:rPr>
        <w:t xml:space="preserve"> </w:t>
      </w:r>
      <w:r w:rsidR="00835331" w:rsidRPr="00864374">
        <w:t xml:space="preserve">na </w:t>
      </w:r>
      <w:proofErr w:type="spellStart"/>
      <w:r w:rsidR="00835331" w:rsidRPr="00864374">
        <w:t>ePUAP</w:t>
      </w:r>
      <w:proofErr w:type="spellEnd"/>
      <w:r w:rsidR="00835331" w:rsidRPr="00864374">
        <w:t xml:space="preserve"> </w:t>
      </w:r>
      <w:r w:rsidR="00292B41" w:rsidRPr="00864374">
        <w:t xml:space="preserve">oraz </w:t>
      </w:r>
      <w:proofErr w:type="spellStart"/>
      <w:r w:rsidR="00292B41" w:rsidRPr="00864374">
        <w:t>miniPortalu</w:t>
      </w:r>
      <w:proofErr w:type="spellEnd"/>
      <w:r w:rsidR="00A85FB1" w:rsidRPr="00864374">
        <w:t>)</w:t>
      </w:r>
      <w:r w:rsidR="00292B41" w:rsidRPr="00864374">
        <w:t xml:space="preserve"> </w:t>
      </w:r>
      <w:r w:rsidRPr="00864374">
        <w:t>jako załączniki.</w:t>
      </w:r>
    </w:p>
    <w:p w:rsidR="00500292" w:rsidRPr="00864374" w:rsidRDefault="00500292" w:rsidP="0049140C">
      <w:pPr>
        <w:numPr>
          <w:ilvl w:val="1"/>
          <w:numId w:val="7"/>
        </w:numPr>
        <w:spacing w:after="0" w:line="240" w:lineRule="auto"/>
        <w:ind w:left="851" w:hanging="425"/>
        <w:jc w:val="both"/>
      </w:pPr>
      <w:r w:rsidRPr="00864374">
        <w:rPr>
          <w:lang w:eastAsia="pl-PL"/>
        </w:rPr>
        <w:t>Maksymalny rozmiar plików przesyłanych za pośrednictwem dedykowanych formularzy wynosi 150 MB.</w:t>
      </w:r>
    </w:p>
    <w:p w:rsidR="00500292" w:rsidRPr="00864374" w:rsidRDefault="00B27554" w:rsidP="0049140C">
      <w:pPr>
        <w:numPr>
          <w:ilvl w:val="1"/>
          <w:numId w:val="7"/>
        </w:numPr>
        <w:spacing w:after="0" w:line="240" w:lineRule="auto"/>
        <w:ind w:left="851" w:hanging="425"/>
        <w:jc w:val="both"/>
      </w:pPr>
      <w:r w:rsidRPr="00864374">
        <w:t xml:space="preserve">Wymagania techniczne i organizacyjne wysyłania i odbierania dokumentów elektronicznych, cyfrowych </w:t>
      </w:r>
      <w:proofErr w:type="spellStart"/>
      <w:r w:rsidRPr="00864374">
        <w:t>odwzorowań</w:t>
      </w:r>
      <w:proofErr w:type="spellEnd"/>
      <w:r w:rsidRPr="00864374">
        <w:t xml:space="preserve"> dokumentów oraz innych informacji przekazywanych przy ich użyciu opisane zostały w </w:t>
      </w:r>
      <w:r w:rsidRPr="00864374">
        <w:rPr>
          <w:i/>
        </w:rPr>
        <w:t xml:space="preserve">Instrukcji użytkownika systemu </w:t>
      </w:r>
      <w:proofErr w:type="spellStart"/>
      <w:r w:rsidRPr="00864374">
        <w:rPr>
          <w:i/>
        </w:rPr>
        <w:t>miniPortal-ePUAP</w:t>
      </w:r>
      <w:proofErr w:type="spellEnd"/>
      <w:r w:rsidRPr="00864374">
        <w:t xml:space="preserve"> zamieszczonej pod adresem </w:t>
      </w:r>
      <w:hyperlink r:id="rId14" w:history="1">
        <w:r w:rsidRPr="00463B90">
          <w:rPr>
            <w:rStyle w:val="Hipercze"/>
            <w:color w:val="2F5496" w:themeColor="accent1" w:themeShade="BF"/>
          </w:rPr>
          <w:t>https://miniportal.uzp.gov.pl/</w:t>
        </w:r>
      </w:hyperlink>
      <w:r w:rsidRPr="00864374">
        <w:t>.</w:t>
      </w:r>
    </w:p>
    <w:p w:rsidR="00500292" w:rsidRPr="00864374" w:rsidRDefault="00B27554" w:rsidP="0049140C">
      <w:pPr>
        <w:numPr>
          <w:ilvl w:val="1"/>
          <w:numId w:val="7"/>
        </w:numPr>
        <w:spacing w:after="0" w:line="240" w:lineRule="auto"/>
        <w:ind w:left="851" w:hanging="425"/>
        <w:jc w:val="both"/>
      </w:pPr>
      <w:r w:rsidRPr="00864374">
        <w:rPr>
          <w:lang w:eastAsia="pl-PL"/>
        </w:rPr>
        <w:t xml:space="preserve">Za datę przekazania </w:t>
      </w:r>
      <w:r w:rsidRPr="00864374">
        <w:t xml:space="preserve">dokumentów elektronicznych, cyfrowych </w:t>
      </w:r>
      <w:proofErr w:type="spellStart"/>
      <w:r w:rsidRPr="00864374">
        <w:t>odwzorowań</w:t>
      </w:r>
      <w:proofErr w:type="spellEnd"/>
      <w:r w:rsidRPr="00864374">
        <w:t xml:space="preserve"> dokumentów oraz innych informacji</w:t>
      </w:r>
      <w:r w:rsidRPr="00864374">
        <w:rPr>
          <w:lang w:eastAsia="pl-PL"/>
        </w:rPr>
        <w:t xml:space="preserve"> przyjmuje się: datę ich datę ich wpływu na skrzynkę odbiorczą e-mail zamawiającego lub przekazania na </w:t>
      </w:r>
      <w:proofErr w:type="spellStart"/>
      <w:r w:rsidRPr="00864374">
        <w:rPr>
          <w:lang w:eastAsia="pl-PL"/>
        </w:rPr>
        <w:t>ePUAP</w:t>
      </w:r>
      <w:proofErr w:type="spellEnd"/>
      <w:r w:rsidRPr="00864374">
        <w:rPr>
          <w:lang w:eastAsia="pl-PL"/>
        </w:rPr>
        <w:t xml:space="preserve"> (w zależności od sposobu komunikowania się).</w:t>
      </w:r>
    </w:p>
    <w:p w:rsidR="00500292" w:rsidRPr="00864374" w:rsidRDefault="00500292" w:rsidP="0049140C">
      <w:pPr>
        <w:numPr>
          <w:ilvl w:val="1"/>
          <w:numId w:val="7"/>
        </w:numPr>
        <w:spacing w:after="0" w:line="240" w:lineRule="auto"/>
        <w:ind w:left="993" w:hanging="567"/>
        <w:jc w:val="both"/>
      </w:pPr>
      <w:r w:rsidRPr="00864374">
        <w:t xml:space="preserve">Sposób sporządzenia dokumentów elektronicznych, cyfrowych </w:t>
      </w:r>
      <w:proofErr w:type="spellStart"/>
      <w:r w:rsidRPr="00864374">
        <w:t>odwzorowań</w:t>
      </w:r>
      <w:proofErr w:type="spellEnd"/>
      <w:r w:rsidRPr="00864374">
        <w:t xml:space="preserve"> dokumentów oraz informacji musi być zgodny z:</w:t>
      </w:r>
    </w:p>
    <w:p w:rsidR="00500292" w:rsidRPr="00864374" w:rsidRDefault="00500292" w:rsidP="0060433E">
      <w:pPr>
        <w:numPr>
          <w:ilvl w:val="0"/>
          <w:numId w:val="17"/>
        </w:numPr>
        <w:spacing w:after="0" w:line="240" w:lineRule="auto"/>
        <w:ind w:left="1276" w:hanging="425"/>
        <w:jc w:val="both"/>
      </w:pPr>
      <w:r w:rsidRPr="00864374">
        <w:t xml:space="preserve">wymaganiami określonymi w </w:t>
      </w:r>
      <w:r w:rsidRPr="00864374">
        <w:rPr>
          <w:i/>
        </w:rPr>
        <w:t>rozporządzeniu Prezesa Rady Ministrów z dnia 30 grudnia 2020 r. w sprawie sposobu sporządzania i przekazywania informacji oraz wymagań technicznych dla dokumentów elektronicznych oraz środków komunikacji elektronicznej w postępowaniu o udzielenie zamówienia publicznego lub konkursie (Dz. U. z 2020 r. poz. 2452)</w:t>
      </w:r>
      <w:r w:rsidRPr="00864374">
        <w:t>,</w:t>
      </w:r>
    </w:p>
    <w:p w:rsidR="00500292" w:rsidRPr="00864374" w:rsidRDefault="00500292" w:rsidP="0060433E">
      <w:pPr>
        <w:numPr>
          <w:ilvl w:val="0"/>
          <w:numId w:val="17"/>
        </w:numPr>
        <w:spacing w:after="0" w:line="240" w:lineRule="auto"/>
        <w:ind w:left="1276" w:hanging="425"/>
        <w:jc w:val="both"/>
      </w:pPr>
      <w:r w:rsidRPr="00864374">
        <w:rPr>
          <w:lang w:eastAsia="pl-PL"/>
        </w:rPr>
        <w:t xml:space="preserve">formatami danych określonych w przepisach wydanych na podstawie art. 18 </w:t>
      </w:r>
      <w:r w:rsidRPr="00864374">
        <w:rPr>
          <w:i/>
          <w:lang w:eastAsia="pl-PL"/>
        </w:rPr>
        <w:t>ustawy</w:t>
      </w:r>
      <w:r w:rsidR="00285AA8" w:rsidRPr="00864374">
        <w:rPr>
          <w:i/>
          <w:lang w:eastAsia="pl-PL"/>
        </w:rPr>
        <w:br/>
      </w:r>
      <w:r w:rsidRPr="00864374">
        <w:rPr>
          <w:i/>
          <w:lang w:eastAsia="pl-PL"/>
        </w:rPr>
        <w:t>z dnia 17 lutego 2005 r. o informatyzacji działalności podmiotów realizujących zadania publiczne (Dz. U. z 2020 r. poz. 346</w:t>
      </w:r>
      <w:r w:rsidR="00B27554" w:rsidRPr="00864374">
        <w:rPr>
          <w:i/>
          <w:lang w:eastAsia="pl-PL"/>
        </w:rPr>
        <w:t xml:space="preserve"> ze zmianami)</w:t>
      </w:r>
      <w:r w:rsidR="00752CFC" w:rsidRPr="00864374">
        <w:rPr>
          <w:lang w:eastAsia="pl-PL"/>
        </w:rPr>
        <w:t>.</w:t>
      </w:r>
    </w:p>
    <w:p w:rsidR="00500292" w:rsidRPr="00864374" w:rsidRDefault="00500292" w:rsidP="0060433E">
      <w:pPr>
        <w:numPr>
          <w:ilvl w:val="1"/>
          <w:numId w:val="7"/>
        </w:numPr>
        <w:spacing w:after="0" w:line="240" w:lineRule="auto"/>
        <w:ind w:left="851" w:hanging="491"/>
        <w:jc w:val="both"/>
      </w:pPr>
      <w:r w:rsidRPr="00864374">
        <w:t>Postępowanie prowadzone jest w języku polskim i bez wyjątku wszystkie dokumenty i oświadczenia sporządzone w języku obcym przekazuje się wraz z tłumaczeniem na język polski.</w:t>
      </w:r>
    </w:p>
    <w:p w:rsidR="00A53270" w:rsidRPr="00864374" w:rsidRDefault="00500292" w:rsidP="0060433E">
      <w:pPr>
        <w:numPr>
          <w:ilvl w:val="1"/>
          <w:numId w:val="7"/>
        </w:numPr>
        <w:spacing w:after="0" w:line="240" w:lineRule="auto"/>
        <w:ind w:left="851" w:hanging="491"/>
        <w:jc w:val="both"/>
      </w:pPr>
      <w:r w:rsidRPr="00864374">
        <w:rPr>
          <w:lang w:eastAsia="pl-PL"/>
        </w:rPr>
        <w:t>Osob</w:t>
      </w:r>
      <w:r w:rsidR="00A53270" w:rsidRPr="00864374">
        <w:rPr>
          <w:lang w:eastAsia="pl-PL"/>
        </w:rPr>
        <w:t>ami</w:t>
      </w:r>
      <w:r w:rsidRPr="00864374">
        <w:rPr>
          <w:lang w:eastAsia="pl-PL"/>
        </w:rPr>
        <w:t xml:space="preserve"> do kontaktu </w:t>
      </w:r>
      <w:r w:rsidR="00A53270" w:rsidRPr="00864374">
        <w:rPr>
          <w:lang w:eastAsia="pl-PL"/>
        </w:rPr>
        <w:t>są:</w:t>
      </w:r>
    </w:p>
    <w:p w:rsidR="00500292" w:rsidRPr="00864374" w:rsidRDefault="00500292" w:rsidP="00A53270">
      <w:pPr>
        <w:pStyle w:val="Akapitzlist"/>
        <w:numPr>
          <w:ilvl w:val="0"/>
          <w:numId w:val="30"/>
        </w:numPr>
        <w:spacing w:after="0" w:line="240" w:lineRule="auto"/>
        <w:jc w:val="both"/>
      </w:pPr>
      <w:r w:rsidRPr="00864374">
        <w:rPr>
          <w:lang w:eastAsia="pl-PL"/>
        </w:rPr>
        <w:t>Krystian Bury</w:t>
      </w:r>
      <w:r w:rsidR="00A53270" w:rsidRPr="00864374">
        <w:rPr>
          <w:lang w:eastAsia="pl-PL"/>
        </w:rPr>
        <w:t xml:space="preserve"> – przedstawiciel zamawiającego</w:t>
      </w:r>
      <w:r w:rsidRPr="00864374">
        <w:rPr>
          <w:lang w:eastAsia="pl-PL"/>
        </w:rPr>
        <w:t xml:space="preserve">, tel. </w:t>
      </w:r>
      <w:r w:rsidRPr="00864374">
        <w:t>885-</w:t>
      </w:r>
      <w:r w:rsidR="00292BA4" w:rsidRPr="00864374">
        <w:t>2</w:t>
      </w:r>
      <w:r w:rsidRPr="00864374">
        <w:t>63-885</w:t>
      </w:r>
      <w:r w:rsidR="00A53270" w:rsidRPr="00864374">
        <w:t>,</w:t>
      </w:r>
    </w:p>
    <w:p w:rsidR="00A53270" w:rsidRPr="00864374" w:rsidRDefault="00A53270" w:rsidP="00A53270">
      <w:pPr>
        <w:pStyle w:val="Akapitzlist"/>
        <w:numPr>
          <w:ilvl w:val="0"/>
          <w:numId w:val="30"/>
        </w:numPr>
        <w:spacing w:after="0" w:line="240" w:lineRule="auto"/>
        <w:jc w:val="both"/>
      </w:pPr>
      <w:r w:rsidRPr="00864374">
        <w:t>Tomasz Kempara – broker ubezpieczeniowy PWS Konstanta S.A., tel. 662-246-212,</w:t>
      </w:r>
      <w:r w:rsidRPr="00864374">
        <w:br/>
        <w:t>e-mail: t.kempara@pwskonstanta.pl.</w:t>
      </w:r>
    </w:p>
    <w:p w:rsidR="00F12FB8" w:rsidRPr="00045E46" w:rsidRDefault="00F12FB8" w:rsidP="0060433E">
      <w:pPr>
        <w:spacing w:after="0" w:line="240" w:lineRule="auto"/>
        <w:rPr>
          <w:color w:val="1F3864" w:themeColor="accent1" w:themeShade="80"/>
        </w:rPr>
      </w:pPr>
    </w:p>
    <w:p w:rsidR="00A76E88" w:rsidRPr="00864374" w:rsidRDefault="00F12FB8" w:rsidP="0060433E">
      <w:pPr>
        <w:numPr>
          <w:ilvl w:val="0"/>
          <w:numId w:val="7"/>
        </w:numPr>
        <w:spacing w:after="0" w:line="240" w:lineRule="auto"/>
        <w:ind w:left="426" w:hanging="426"/>
      </w:pPr>
      <w:bookmarkStart w:id="1" w:name="_Hlk62559798"/>
      <w:r w:rsidRPr="00864374">
        <w:rPr>
          <w:b/>
        </w:rPr>
        <w:t>O</w:t>
      </w:r>
      <w:r w:rsidRPr="00864374">
        <w:rPr>
          <w:b/>
          <w:bCs/>
        </w:rPr>
        <w:t>PIS SPOSOBU PRZYGOTOWYWANIA I ZŁOŻENIA OFERTY.</w:t>
      </w:r>
      <w:bookmarkEnd w:id="1"/>
    </w:p>
    <w:p w:rsidR="00F12FB8" w:rsidRPr="00864374" w:rsidRDefault="007C153B" w:rsidP="0060433E">
      <w:pPr>
        <w:numPr>
          <w:ilvl w:val="1"/>
          <w:numId w:val="7"/>
        </w:numPr>
        <w:spacing w:after="0" w:line="240" w:lineRule="auto"/>
        <w:ind w:left="993" w:hanging="633"/>
        <w:jc w:val="both"/>
      </w:pPr>
      <w:r w:rsidRPr="00864374">
        <w:rPr>
          <w:bCs/>
        </w:rPr>
        <w:t>Przygotowując ofertę,</w:t>
      </w:r>
      <w:r w:rsidRPr="00864374">
        <w:rPr>
          <w:b/>
          <w:bCs/>
        </w:rPr>
        <w:t xml:space="preserve"> </w:t>
      </w:r>
      <w:r w:rsidRPr="00864374">
        <w:t>w przypadku rozbieżności pomiędzy treścią niniejszej SWZ,</w:t>
      </w:r>
      <w:r w:rsidRPr="00864374">
        <w:br/>
        <w:t>a treścią ewentualnych wyjaśnień i modyfikacją SWZ, jako obowiązującą należy przyjąć treść pisma zawierającego oświadczenie zamawiającego z datą późniejszą.</w:t>
      </w:r>
    </w:p>
    <w:p w:rsidR="007C153B" w:rsidRPr="00864374" w:rsidRDefault="007C153B" w:rsidP="0060433E">
      <w:pPr>
        <w:numPr>
          <w:ilvl w:val="1"/>
          <w:numId w:val="7"/>
        </w:numPr>
        <w:spacing w:after="0" w:line="240" w:lineRule="auto"/>
        <w:ind w:left="993" w:hanging="633"/>
        <w:jc w:val="both"/>
      </w:pPr>
      <w:r w:rsidRPr="00864374">
        <w:t>Każdy wykonawca może złożyć tylko jedną ofertę.</w:t>
      </w:r>
    </w:p>
    <w:p w:rsidR="007C153B" w:rsidRPr="00864374" w:rsidRDefault="007C153B" w:rsidP="0060433E">
      <w:pPr>
        <w:numPr>
          <w:ilvl w:val="1"/>
          <w:numId w:val="7"/>
        </w:numPr>
        <w:spacing w:after="0" w:line="240" w:lineRule="auto"/>
        <w:ind w:left="993" w:hanging="633"/>
        <w:jc w:val="both"/>
      </w:pPr>
      <w:r w:rsidRPr="00864374">
        <w:rPr>
          <w:lang w:eastAsia="pl-PL"/>
        </w:rPr>
        <w:t>Oferta musi być sporządzona w języku polskim w formie elektronicznej</w:t>
      </w:r>
      <w:r w:rsidR="00545C8D" w:rsidRPr="00864374">
        <w:rPr>
          <w:lang w:eastAsia="pl-PL"/>
        </w:rPr>
        <w:t xml:space="preserve">, tj. </w:t>
      </w:r>
      <w:r w:rsidRPr="00864374">
        <w:rPr>
          <w:lang w:eastAsia="pl-PL"/>
        </w:rPr>
        <w:t>opatrzon</w:t>
      </w:r>
      <w:r w:rsidR="00285AA8" w:rsidRPr="00864374">
        <w:rPr>
          <w:lang w:eastAsia="pl-PL"/>
        </w:rPr>
        <w:t>ej</w:t>
      </w:r>
      <w:r w:rsidRPr="00864374">
        <w:rPr>
          <w:lang w:eastAsia="pl-PL"/>
        </w:rPr>
        <w:t xml:space="preserve"> kwalifikowanym podpisem elektronicznym.</w:t>
      </w:r>
    </w:p>
    <w:p w:rsidR="007C153B" w:rsidRPr="00864374" w:rsidRDefault="007C153B" w:rsidP="0060433E">
      <w:pPr>
        <w:numPr>
          <w:ilvl w:val="1"/>
          <w:numId w:val="7"/>
        </w:numPr>
        <w:spacing w:after="0" w:line="240" w:lineRule="auto"/>
        <w:ind w:left="993" w:hanging="633"/>
        <w:jc w:val="both"/>
      </w:pPr>
      <w:r w:rsidRPr="00864374">
        <w:t>Sposób sporządzenia oferty musi być zgodny z:</w:t>
      </w:r>
    </w:p>
    <w:p w:rsidR="007C153B" w:rsidRPr="00864374" w:rsidRDefault="007C153B" w:rsidP="0060433E">
      <w:pPr>
        <w:numPr>
          <w:ilvl w:val="0"/>
          <w:numId w:val="18"/>
        </w:numPr>
        <w:spacing w:after="0" w:line="240" w:lineRule="auto"/>
        <w:ind w:left="1276" w:hanging="425"/>
        <w:jc w:val="both"/>
      </w:pPr>
      <w:r w:rsidRPr="00864374">
        <w:t xml:space="preserve">wymaganiami określonymi w </w:t>
      </w:r>
      <w:r w:rsidRPr="00864374">
        <w:rPr>
          <w:i/>
        </w:rPr>
        <w:t>rozporządzeniu Prezesa Rady Ministrów z dnia 30 grudnia 2020 r. w sprawie sposobu sporządzania i przekazywania informacji oraz wymagań technicznych dla dokumentów elektronicznych oraz środków komunikacji elektronicznej w postępowaniu o udzielenie zamówienia publicznego lub konkursie (Dz. U. z 2020 r. poz. 2452)</w:t>
      </w:r>
      <w:r w:rsidRPr="00864374">
        <w:t>,</w:t>
      </w:r>
    </w:p>
    <w:p w:rsidR="007C153B" w:rsidRPr="00864374" w:rsidRDefault="007C153B" w:rsidP="0060433E">
      <w:pPr>
        <w:numPr>
          <w:ilvl w:val="0"/>
          <w:numId w:val="18"/>
        </w:numPr>
        <w:spacing w:after="0" w:line="240" w:lineRule="auto"/>
        <w:ind w:left="1276" w:hanging="425"/>
        <w:jc w:val="both"/>
      </w:pPr>
      <w:r w:rsidRPr="00864374">
        <w:rPr>
          <w:lang w:eastAsia="pl-PL"/>
        </w:rPr>
        <w:t xml:space="preserve">formatami danych określonych w przepisach wydanych na podstawie art. 18 </w:t>
      </w:r>
      <w:r w:rsidRPr="00864374">
        <w:rPr>
          <w:i/>
          <w:lang w:eastAsia="pl-PL"/>
        </w:rPr>
        <w:t>ustawy</w:t>
      </w:r>
      <w:r w:rsidR="00285AA8" w:rsidRPr="00864374">
        <w:rPr>
          <w:i/>
          <w:lang w:eastAsia="pl-PL"/>
        </w:rPr>
        <w:br/>
      </w:r>
      <w:r w:rsidRPr="00864374">
        <w:rPr>
          <w:i/>
          <w:lang w:eastAsia="pl-PL"/>
        </w:rPr>
        <w:t>z dnia 17 lutego 2005 r. o informatyzacji działalności podmiotów realizujących zadania publiczne (Dz. U. z 2020 r. poz. 346</w:t>
      </w:r>
      <w:r w:rsidR="00545C8D" w:rsidRPr="00864374">
        <w:rPr>
          <w:i/>
          <w:lang w:eastAsia="pl-PL"/>
        </w:rPr>
        <w:t xml:space="preserve"> ze zmianami)</w:t>
      </w:r>
      <w:r w:rsidR="00285AA8" w:rsidRPr="00864374">
        <w:rPr>
          <w:i/>
          <w:lang w:eastAsia="pl-PL"/>
        </w:rPr>
        <w:t>.</w:t>
      </w:r>
    </w:p>
    <w:p w:rsidR="007C153B" w:rsidRPr="00864374" w:rsidRDefault="00545C8D" w:rsidP="0060433E">
      <w:pPr>
        <w:numPr>
          <w:ilvl w:val="1"/>
          <w:numId w:val="7"/>
        </w:numPr>
        <w:spacing w:after="0" w:line="240" w:lineRule="auto"/>
        <w:ind w:left="993" w:hanging="633"/>
        <w:jc w:val="both"/>
      </w:pPr>
      <w:r w:rsidRPr="00864374">
        <w:t xml:space="preserve">Oferta musi być podpisana przez </w:t>
      </w:r>
      <w:r w:rsidRPr="00864374">
        <w:rPr>
          <w:bCs/>
        </w:rPr>
        <w:t>osobę upoważnioną</w:t>
      </w:r>
      <w:r w:rsidRPr="00864374">
        <w:t xml:space="preserve"> do reprezentowania wykonawcy </w:t>
      </w:r>
      <w:r w:rsidRPr="00864374">
        <w:br/>
        <w:t xml:space="preserve">na zewnątrz. </w:t>
      </w:r>
      <w:r w:rsidRPr="00864374">
        <w:rPr>
          <w:bCs/>
        </w:rPr>
        <w:t>Jeśli wyznaczono pełnomocnika, należy dołączyć pełnomocnictwo określające zakres.</w:t>
      </w:r>
      <w:r w:rsidRPr="00864374">
        <w:t xml:space="preserve"> Pełnomocnictwo przekazuje się w </w:t>
      </w:r>
      <w:r w:rsidR="00F37623" w:rsidRPr="00864374">
        <w:t>formie</w:t>
      </w:r>
      <w:r w:rsidRPr="00864374">
        <w:t xml:space="preserve"> elektronicznej</w:t>
      </w:r>
      <w:r w:rsidR="00F37623" w:rsidRPr="00864374">
        <w:t>, tj.</w:t>
      </w:r>
      <w:r w:rsidRPr="00864374">
        <w:t xml:space="preserve"> opatr</w:t>
      </w:r>
      <w:r w:rsidR="00F37623" w:rsidRPr="00864374">
        <w:t>zonej</w:t>
      </w:r>
      <w:r w:rsidRPr="00864374">
        <w:t xml:space="preserve"> kwalifikowanym podpisem elektronicznym. Dopuszcza się także złożenie cyfrowego </w:t>
      </w:r>
      <w:r w:rsidRPr="00864374">
        <w:lastRenderedPageBreak/>
        <w:t>odwzorowania pełnomocnictwa (sporządzonego uprzednio w formie pisemnej) opatrzonego kwalifikowanym podpisem elektronicznym, poświadczającym zgodność cyfrowego odwzorowania z dokumentem w postaci papierowej. Poświadczenia zgodności cyfrowego odwzorowania z pełnomocnictwem w postaci papierowej dokonuje mocodawca lub notariusz. Cyfrowe odwzorowanie pełnomocnictwa nie może być poświadczone przez upełnomocnionego.</w:t>
      </w:r>
    </w:p>
    <w:p w:rsidR="007C153B" w:rsidRPr="006202C4" w:rsidRDefault="0037232B" w:rsidP="0060433E">
      <w:pPr>
        <w:numPr>
          <w:ilvl w:val="1"/>
          <w:numId w:val="7"/>
        </w:numPr>
        <w:spacing w:after="0" w:line="240" w:lineRule="auto"/>
        <w:ind w:left="993" w:hanging="633"/>
        <w:jc w:val="both"/>
      </w:pPr>
      <w:r w:rsidRPr="0037232B">
        <w:rPr>
          <w:lang w:eastAsia="pl-PL"/>
        </w:rPr>
        <w:t xml:space="preserve">Treść </w:t>
      </w:r>
      <w:r w:rsidRPr="006202C4">
        <w:rPr>
          <w:lang w:eastAsia="pl-PL"/>
        </w:rPr>
        <w:t>oferty musi być zgodna z wymaganiami zamawiającego określonymi w dokumentach zamówienia.</w:t>
      </w:r>
    </w:p>
    <w:p w:rsidR="007C153B" w:rsidRPr="006202C4" w:rsidRDefault="006202C4" w:rsidP="006202C4">
      <w:pPr>
        <w:numPr>
          <w:ilvl w:val="1"/>
          <w:numId w:val="7"/>
        </w:numPr>
        <w:spacing w:after="0" w:line="240" w:lineRule="auto"/>
        <w:ind w:left="993" w:hanging="633"/>
        <w:jc w:val="both"/>
      </w:pPr>
      <w:r w:rsidRPr="006202C4">
        <w:t>Zaleca się przy sporządzeniu oferty skorzystanie z wzorów przygotowanych przez zamawiającego przedstawionych w załącznikach SWZ. Wykonawca może przedstawić ofertę na swoich formularzach z zastrzeżeniem, że muszą one zawierać wszystkie informacje określone przez zamawiającego w SWZ.</w:t>
      </w:r>
    </w:p>
    <w:p w:rsidR="007C153B" w:rsidRPr="00864374" w:rsidRDefault="007C153B" w:rsidP="0060433E">
      <w:pPr>
        <w:numPr>
          <w:ilvl w:val="1"/>
          <w:numId w:val="7"/>
        </w:numPr>
        <w:spacing w:after="0" w:line="240" w:lineRule="auto"/>
        <w:ind w:left="993" w:hanging="633"/>
        <w:jc w:val="both"/>
      </w:pPr>
      <w:r w:rsidRPr="006202C4">
        <w:rPr>
          <w:bCs/>
        </w:rPr>
        <w:t xml:space="preserve">Wykonawca składa ofertę za pośrednictwem </w:t>
      </w:r>
      <w:r w:rsidRPr="006202C4">
        <w:rPr>
          <w:b/>
          <w:bCs/>
          <w:i/>
        </w:rPr>
        <w:t>Formularza do złożenia, zmiany, wycofania oferty lub wniosku</w:t>
      </w:r>
      <w:r w:rsidRPr="00864374">
        <w:rPr>
          <w:bCs/>
        </w:rPr>
        <w:t xml:space="preserve"> dostępnego na </w:t>
      </w:r>
      <w:proofErr w:type="spellStart"/>
      <w:r w:rsidRPr="00864374">
        <w:rPr>
          <w:bCs/>
        </w:rPr>
        <w:t>ePUAP</w:t>
      </w:r>
      <w:proofErr w:type="spellEnd"/>
      <w:r w:rsidRPr="00864374">
        <w:rPr>
          <w:bCs/>
        </w:rPr>
        <w:t xml:space="preserve"> i udostępnionego również na </w:t>
      </w:r>
      <w:proofErr w:type="spellStart"/>
      <w:r w:rsidRPr="00864374">
        <w:rPr>
          <w:bCs/>
        </w:rPr>
        <w:t>miniPortalu</w:t>
      </w:r>
      <w:proofErr w:type="spellEnd"/>
      <w:r w:rsidRPr="00864374">
        <w:rPr>
          <w:bCs/>
        </w:rPr>
        <w:t xml:space="preserve">. </w:t>
      </w:r>
      <w:r w:rsidR="00B63206" w:rsidRPr="00864374">
        <w:rPr>
          <w:bCs/>
        </w:rPr>
        <w:t>Przed złożeniem oferta musi zostać podpisana.</w:t>
      </w:r>
    </w:p>
    <w:p w:rsidR="00B63206" w:rsidRPr="00864374" w:rsidRDefault="00B63206" w:rsidP="0060433E">
      <w:pPr>
        <w:numPr>
          <w:ilvl w:val="1"/>
          <w:numId w:val="7"/>
        </w:numPr>
        <w:spacing w:after="0" w:line="240" w:lineRule="auto"/>
        <w:ind w:left="993" w:hanging="633"/>
        <w:jc w:val="both"/>
      </w:pPr>
      <w:r w:rsidRPr="00864374">
        <w:t xml:space="preserve">Jeżeli na ofertę składa się kilka dokumentów (plików), wykonawca powinien stworzyć katalog, w którym umieści wszystkie dokumenty, a następnie ten katalog skompresuje do archiwum .zip (kompresja katalogu na tym etapie odbywa się bez nadawania mu haseł i bez szyfrowania). Szyfrowanie następuje automatycznie dopiero poprzez dodanie skompresowanego katalogu bezpośrednio na stronie </w:t>
      </w:r>
      <w:proofErr w:type="spellStart"/>
      <w:r w:rsidRPr="00864374">
        <w:t>miniPortalu</w:t>
      </w:r>
      <w:proofErr w:type="spellEnd"/>
      <w:r w:rsidRPr="00864374">
        <w:t xml:space="preserve"> w szczegółach postępowania.</w:t>
      </w:r>
    </w:p>
    <w:p w:rsidR="007C153B" w:rsidRPr="00864374" w:rsidRDefault="00545C8D" w:rsidP="0060433E">
      <w:pPr>
        <w:numPr>
          <w:ilvl w:val="1"/>
          <w:numId w:val="7"/>
        </w:numPr>
        <w:spacing w:after="0" w:line="240" w:lineRule="auto"/>
        <w:ind w:left="993" w:hanging="633"/>
        <w:jc w:val="both"/>
      </w:pPr>
      <w:r w:rsidRPr="00864374">
        <w:rPr>
          <w:bCs/>
        </w:rPr>
        <w:t xml:space="preserve">Do zaszyfrowania oferty nie jest potrzebna żadna aplikacja ani inne narzędzia. Cały proces szyfrowania ma miejsce na stronie </w:t>
      </w:r>
      <w:hyperlink r:id="rId15" w:history="1">
        <w:r w:rsidR="00A85FB1" w:rsidRPr="00864374">
          <w:rPr>
            <w:rStyle w:val="Hipercze"/>
            <w:color w:val="auto"/>
          </w:rPr>
          <w:t>https://miniportal.uzp.gov.pl/</w:t>
        </w:r>
      </w:hyperlink>
      <w:r w:rsidRPr="00864374">
        <w:rPr>
          <w:bCs/>
        </w:rPr>
        <w:t xml:space="preserve">. Sposób złożenia oferty, w tym jej zaszyfrowanie, został opisany w Instrukcji użytkownika dostępniej na </w:t>
      </w:r>
      <w:proofErr w:type="spellStart"/>
      <w:r w:rsidRPr="00864374">
        <w:rPr>
          <w:bCs/>
        </w:rPr>
        <w:t>miniPortalu</w:t>
      </w:r>
      <w:proofErr w:type="spellEnd"/>
      <w:r w:rsidRPr="00864374">
        <w:rPr>
          <w:bCs/>
        </w:rPr>
        <w:t>.</w:t>
      </w:r>
    </w:p>
    <w:p w:rsidR="009D4F84" w:rsidRPr="00864374" w:rsidRDefault="009D4F84" w:rsidP="0060433E">
      <w:pPr>
        <w:numPr>
          <w:ilvl w:val="1"/>
          <w:numId w:val="7"/>
        </w:numPr>
        <w:spacing w:after="0" w:line="240" w:lineRule="auto"/>
        <w:ind w:left="993" w:hanging="633"/>
        <w:jc w:val="both"/>
      </w:pPr>
      <w:bookmarkStart w:id="2" w:name="_Hlk64966636"/>
      <w:r w:rsidRPr="00864374">
        <w:t xml:space="preserve">Wypełniając </w:t>
      </w:r>
      <w:r w:rsidRPr="00864374">
        <w:rPr>
          <w:bCs/>
          <w:i/>
        </w:rPr>
        <w:t>Formularz do złożenia, zmiany, wycofania oferty lub wniosku</w:t>
      </w:r>
      <w:r w:rsidRPr="00864374">
        <w:t xml:space="preserve"> w miejscu „wpisz dane odbiorcy” należy wpisać: </w:t>
      </w:r>
      <w:r w:rsidRPr="00864374">
        <w:rPr>
          <w:rFonts w:asciiTheme="minorHAnsi" w:hAnsiTheme="minorHAnsi" w:cstheme="minorHAnsi"/>
          <w:b/>
          <w:shd w:val="clear" w:color="auto" w:fill="FFFFFF"/>
        </w:rPr>
        <w:t>Regionalny Zakład Zagospodarowania Odpadów</w:t>
      </w:r>
      <w:r w:rsidRPr="00864374">
        <w:t>.</w:t>
      </w:r>
      <w:bookmarkEnd w:id="2"/>
    </w:p>
    <w:p w:rsidR="007C153B" w:rsidRPr="00864374" w:rsidRDefault="007C153B" w:rsidP="0060433E">
      <w:pPr>
        <w:numPr>
          <w:ilvl w:val="1"/>
          <w:numId w:val="7"/>
        </w:numPr>
        <w:spacing w:after="0" w:line="240" w:lineRule="auto"/>
        <w:ind w:left="993" w:hanging="633"/>
        <w:jc w:val="both"/>
      </w:pPr>
      <w:r w:rsidRPr="00864374">
        <w:t>Wszelkie informacje stanowiące tajemnicę przedsiębiorstwa w rozumieniu ustawy z dnia 16 kwietnia 1993 r. o zwalczaniu nieuczciwej konkurencji (</w:t>
      </w:r>
      <w:proofErr w:type="spellStart"/>
      <w:r w:rsidRPr="00864374">
        <w:t>t.j</w:t>
      </w:r>
      <w:proofErr w:type="spellEnd"/>
      <w:r w:rsidRPr="00864374">
        <w:t xml:space="preserve">.: Dz. U. z 2020 r. poz. 1913), które wykonawca zastrzeże jako tajemnicę przedsiębiorstwa, powinny zostać złożone w osobnym pliku wraz z jednoczesnym zaznaczeniem polecenia „Załącznik stanowiący tajemnicę przedsiębiorstwa” a następnie wraz z plikami stanowiącymi jawną część skompresowane do jednego pliku archiwum (ZIP). Wykonawca zobowiązany jest, wraz z przekazaniem tych informacji, wykazać spełnienie przesłanek określonych w art. 11 ust. 2 ustawy o zwalczaniu nieuczciwej konkurencji. Zaleca się, aby uzasadnienie zastrzeżenia informacji jako tajemnicy przedsiębiorstwa było sformułowane w sposób umożliwiający jego udostępnienie. Zastrzeżenie przez wykonawcę tajemnicy przedsiębiorstwa bez uzasadnienia, będzie traktowane jako bezskuteczne ze względu na zaniechanie przez wykonawcę podjęcia niezbędnych działań w celu utrzymania poufności objętych klauzulą informacji zgodnie z postanowieniami art. 18 ust. 3 </w:t>
      </w:r>
      <w:proofErr w:type="spellStart"/>
      <w:r w:rsidRPr="00864374">
        <w:t>Pzp</w:t>
      </w:r>
      <w:proofErr w:type="spellEnd"/>
      <w:r w:rsidRPr="00864374">
        <w:t>.</w:t>
      </w:r>
    </w:p>
    <w:p w:rsidR="007C153B" w:rsidRPr="00864374" w:rsidRDefault="007C153B" w:rsidP="0060433E">
      <w:pPr>
        <w:numPr>
          <w:ilvl w:val="1"/>
          <w:numId w:val="7"/>
        </w:numPr>
        <w:spacing w:after="0" w:line="240" w:lineRule="auto"/>
        <w:ind w:left="993" w:hanging="633"/>
        <w:jc w:val="both"/>
      </w:pPr>
      <w:r w:rsidRPr="00864374">
        <w:t>Wykonawca ponosi wszelkie koszty związane z przygotowaniem i złożeniem oferty.</w:t>
      </w:r>
    </w:p>
    <w:p w:rsidR="007C153B" w:rsidRPr="00864374" w:rsidRDefault="007C153B" w:rsidP="0060433E">
      <w:pPr>
        <w:spacing w:after="0" w:line="240" w:lineRule="auto"/>
        <w:jc w:val="both"/>
      </w:pPr>
    </w:p>
    <w:p w:rsidR="004E3AF9" w:rsidRPr="00864374" w:rsidRDefault="004E3AF9" w:rsidP="004E3AF9">
      <w:pPr>
        <w:numPr>
          <w:ilvl w:val="0"/>
          <w:numId w:val="7"/>
        </w:numPr>
        <w:spacing w:after="0" w:line="240" w:lineRule="auto"/>
        <w:ind w:left="426" w:hanging="426"/>
      </w:pPr>
      <w:r w:rsidRPr="00864374">
        <w:rPr>
          <w:b/>
          <w:lang w:eastAsia="pl-PL"/>
        </w:rPr>
        <w:t>TERMIN ZWIĄZANIA OFERTĄ.</w:t>
      </w:r>
    </w:p>
    <w:p w:rsidR="004E3AF9" w:rsidRPr="00864374" w:rsidRDefault="004E3AF9" w:rsidP="004E3AF9">
      <w:pPr>
        <w:spacing w:after="0" w:line="240" w:lineRule="auto"/>
        <w:jc w:val="both"/>
      </w:pPr>
      <w:r w:rsidRPr="00864374">
        <w:rPr>
          <w:lang w:eastAsia="pl-PL"/>
        </w:rPr>
        <w:t>Wykonawca jest związany ofertą nie dłużej niż 90 dni od dnia upływu terminu składania ofert, tj.</w:t>
      </w:r>
      <w:r w:rsidRPr="00864374">
        <w:rPr>
          <w:lang w:eastAsia="pl-PL"/>
        </w:rPr>
        <w:br/>
      </w:r>
      <w:r w:rsidRPr="00864374">
        <w:rPr>
          <w:b/>
          <w:bCs/>
          <w:lang w:eastAsia="pl-PL"/>
        </w:rPr>
        <w:t>do dni</w:t>
      </w:r>
      <w:r w:rsidRPr="006E3AA1">
        <w:rPr>
          <w:b/>
          <w:bCs/>
          <w:lang w:eastAsia="pl-PL"/>
        </w:rPr>
        <w:t xml:space="preserve">a </w:t>
      </w:r>
      <w:r w:rsidR="006E3AA1" w:rsidRPr="006E3AA1">
        <w:rPr>
          <w:b/>
          <w:bCs/>
          <w:lang w:eastAsia="pl-PL"/>
        </w:rPr>
        <w:t>2</w:t>
      </w:r>
      <w:r w:rsidR="00114B88">
        <w:rPr>
          <w:b/>
          <w:bCs/>
          <w:lang w:eastAsia="pl-PL"/>
        </w:rPr>
        <w:t>3</w:t>
      </w:r>
      <w:r w:rsidRPr="006E3AA1">
        <w:rPr>
          <w:b/>
          <w:bCs/>
          <w:lang w:eastAsia="pl-PL"/>
        </w:rPr>
        <w:t xml:space="preserve"> </w:t>
      </w:r>
      <w:r w:rsidR="006E3AA1" w:rsidRPr="006E3AA1">
        <w:rPr>
          <w:b/>
          <w:bCs/>
          <w:lang w:eastAsia="pl-PL"/>
        </w:rPr>
        <w:t>październik</w:t>
      </w:r>
      <w:r w:rsidRPr="006E3AA1">
        <w:rPr>
          <w:b/>
          <w:bCs/>
          <w:lang w:eastAsia="pl-PL"/>
        </w:rPr>
        <w:t>a 2021 r.</w:t>
      </w:r>
      <w:r w:rsidRPr="00864374">
        <w:rPr>
          <w:b/>
          <w:bCs/>
          <w:lang w:eastAsia="pl-PL"/>
        </w:rPr>
        <w:t xml:space="preserve"> </w:t>
      </w:r>
      <w:r w:rsidRPr="00864374">
        <w:rPr>
          <w:lang w:eastAsia="pl-PL"/>
        </w:rPr>
        <w:t>Pierwszym dniem terminu związania ofertą jest dzień, w którym upływa termin składania ofert .</w:t>
      </w:r>
    </w:p>
    <w:p w:rsidR="004E3AF9" w:rsidRPr="00864374" w:rsidRDefault="004E3AF9" w:rsidP="0060433E">
      <w:pPr>
        <w:spacing w:after="0" w:line="240" w:lineRule="auto"/>
        <w:jc w:val="both"/>
      </w:pPr>
    </w:p>
    <w:p w:rsidR="00A76E88" w:rsidRPr="00864374" w:rsidRDefault="007C153B" w:rsidP="0060433E">
      <w:pPr>
        <w:numPr>
          <w:ilvl w:val="0"/>
          <w:numId w:val="7"/>
        </w:numPr>
        <w:spacing w:after="0" w:line="240" w:lineRule="auto"/>
        <w:ind w:left="426" w:hanging="426"/>
      </w:pPr>
      <w:r w:rsidRPr="00864374">
        <w:rPr>
          <w:b/>
          <w:bCs/>
        </w:rPr>
        <w:t>TERMIN SKŁADANIA OFERT.</w:t>
      </w:r>
    </w:p>
    <w:p w:rsidR="007C153B" w:rsidRPr="00864374" w:rsidRDefault="006948E5" w:rsidP="0060433E">
      <w:pPr>
        <w:numPr>
          <w:ilvl w:val="1"/>
          <w:numId w:val="7"/>
        </w:numPr>
        <w:spacing w:after="0" w:line="240" w:lineRule="auto"/>
        <w:ind w:left="993" w:hanging="633"/>
        <w:jc w:val="both"/>
      </w:pPr>
      <w:r w:rsidRPr="00864374">
        <w:rPr>
          <w:spacing w:val="-2"/>
        </w:rPr>
        <w:t xml:space="preserve">Ofertę należy złożyć zamawiającemu do </w:t>
      </w:r>
      <w:r w:rsidRPr="006E3AA1">
        <w:rPr>
          <w:spacing w:val="-2"/>
        </w:rPr>
        <w:t xml:space="preserve">dnia </w:t>
      </w:r>
      <w:r w:rsidR="006E3AA1" w:rsidRPr="006E3AA1">
        <w:rPr>
          <w:b/>
          <w:spacing w:val="-2"/>
        </w:rPr>
        <w:t>2</w:t>
      </w:r>
      <w:r w:rsidR="00114B88">
        <w:rPr>
          <w:b/>
          <w:spacing w:val="-2"/>
        </w:rPr>
        <w:t>6</w:t>
      </w:r>
      <w:r w:rsidR="006657E2" w:rsidRPr="006E3AA1">
        <w:rPr>
          <w:b/>
          <w:spacing w:val="-2"/>
        </w:rPr>
        <w:t xml:space="preserve"> </w:t>
      </w:r>
      <w:r w:rsidR="006E3AA1" w:rsidRPr="006E3AA1">
        <w:rPr>
          <w:b/>
          <w:spacing w:val="-2"/>
        </w:rPr>
        <w:t>lip</w:t>
      </w:r>
      <w:r w:rsidR="006657E2" w:rsidRPr="006E3AA1">
        <w:rPr>
          <w:b/>
          <w:spacing w:val="-2"/>
        </w:rPr>
        <w:t xml:space="preserve">ca </w:t>
      </w:r>
      <w:r w:rsidRPr="006E3AA1">
        <w:rPr>
          <w:b/>
          <w:spacing w:val="-2"/>
        </w:rPr>
        <w:t>202</w:t>
      </w:r>
      <w:r w:rsidR="00161437" w:rsidRPr="006E3AA1">
        <w:rPr>
          <w:b/>
          <w:spacing w:val="-2"/>
        </w:rPr>
        <w:t>1</w:t>
      </w:r>
      <w:r w:rsidRPr="006E3AA1">
        <w:rPr>
          <w:b/>
          <w:spacing w:val="-2"/>
        </w:rPr>
        <w:t xml:space="preserve"> r. </w:t>
      </w:r>
      <w:r w:rsidRPr="006E3AA1">
        <w:rPr>
          <w:b/>
          <w:bCs/>
          <w:spacing w:val="-2"/>
        </w:rPr>
        <w:t xml:space="preserve">do godz. </w:t>
      </w:r>
      <w:r w:rsidR="00114B88">
        <w:rPr>
          <w:b/>
          <w:bCs/>
          <w:spacing w:val="-2"/>
        </w:rPr>
        <w:t>9</w:t>
      </w:r>
      <w:r w:rsidRPr="006E3AA1">
        <w:rPr>
          <w:b/>
          <w:bCs/>
          <w:spacing w:val="-2"/>
          <w:vertAlign w:val="superscript"/>
        </w:rPr>
        <w:t>00</w:t>
      </w:r>
      <w:r w:rsidRPr="006E3AA1">
        <w:rPr>
          <w:b/>
          <w:bCs/>
          <w:vertAlign w:val="superscript"/>
        </w:rPr>
        <w:t xml:space="preserve"> </w:t>
      </w:r>
      <w:r w:rsidRPr="006E3AA1">
        <w:rPr>
          <w:b/>
          <w:bCs/>
        </w:rPr>
        <w:t>.</w:t>
      </w:r>
    </w:p>
    <w:p w:rsidR="006948E5" w:rsidRPr="00864374" w:rsidRDefault="006948E5" w:rsidP="0060433E">
      <w:pPr>
        <w:numPr>
          <w:ilvl w:val="1"/>
          <w:numId w:val="7"/>
        </w:numPr>
        <w:spacing w:after="0" w:line="240" w:lineRule="auto"/>
        <w:ind w:left="993" w:hanging="633"/>
        <w:jc w:val="both"/>
      </w:pPr>
      <w:r w:rsidRPr="00864374">
        <w:t>Do upływu wyznaczonego terminu składania ofert wykonawca składa:</w:t>
      </w:r>
    </w:p>
    <w:p w:rsidR="006948E5" w:rsidRPr="006E3AA1" w:rsidRDefault="006948E5" w:rsidP="0060433E">
      <w:pPr>
        <w:numPr>
          <w:ilvl w:val="0"/>
          <w:numId w:val="21"/>
        </w:numPr>
        <w:spacing w:after="0" w:line="240" w:lineRule="auto"/>
        <w:ind w:left="1418" w:hanging="425"/>
        <w:jc w:val="both"/>
        <w:rPr>
          <w:u w:val="single"/>
        </w:rPr>
      </w:pPr>
      <w:r w:rsidRPr="00864374">
        <w:t>formularz oferto</w:t>
      </w:r>
      <w:r w:rsidRPr="006E3AA1">
        <w:t xml:space="preserve">wy </w:t>
      </w:r>
      <w:r w:rsidRPr="006E3AA1">
        <w:rPr>
          <w:b/>
        </w:rPr>
        <w:t>(załącznik nr 1),</w:t>
      </w:r>
    </w:p>
    <w:p w:rsidR="006948E5" w:rsidRPr="00864374" w:rsidRDefault="006948E5" w:rsidP="0060433E">
      <w:pPr>
        <w:numPr>
          <w:ilvl w:val="0"/>
          <w:numId w:val="21"/>
        </w:numPr>
        <w:spacing w:after="0" w:line="240" w:lineRule="auto"/>
        <w:ind w:left="1418" w:hanging="425"/>
        <w:jc w:val="both"/>
      </w:pPr>
      <w:r w:rsidRPr="00864374">
        <w:t>pełnomocnictwo z podaniem zakresu, imienia i nazwiska pełnomocnika jeżeli:</w:t>
      </w:r>
    </w:p>
    <w:p w:rsidR="00AC7F10" w:rsidRPr="00864374" w:rsidRDefault="00AC7F10" w:rsidP="00AC7F10">
      <w:pPr>
        <w:numPr>
          <w:ilvl w:val="0"/>
          <w:numId w:val="22"/>
        </w:numPr>
        <w:spacing w:after="0" w:line="240" w:lineRule="auto"/>
        <w:ind w:left="1560" w:hanging="284"/>
        <w:jc w:val="both"/>
      </w:pPr>
      <w:r w:rsidRPr="00864374">
        <w:lastRenderedPageBreak/>
        <w:t xml:space="preserve">ofertę podpisuje pełnomocnik, a uprawnienie do podpisania oferty </w:t>
      </w:r>
      <w:r w:rsidRPr="00864374">
        <w:br/>
        <w:t>i reprezentowania podmiotu nie wynika ze sposobu reprezentacji wykonawcy,</w:t>
      </w:r>
    </w:p>
    <w:p w:rsidR="00AC7F10" w:rsidRPr="00864374" w:rsidRDefault="00AC7F10" w:rsidP="00AC7F10">
      <w:pPr>
        <w:numPr>
          <w:ilvl w:val="0"/>
          <w:numId w:val="22"/>
        </w:numPr>
        <w:spacing w:after="0" w:line="240" w:lineRule="auto"/>
        <w:ind w:left="1560" w:hanging="284"/>
        <w:jc w:val="both"/>
      </w:pPr>
      <w:r w:rsidRPr="00864374">
        <w:t xml:space="preserve">ofertę składają podmioty występujące wspólnie (np.: spółka cywilna, konsorcjum), zgodnie z art. 58 ust. 2 </w:t>
      </w:r>
      <w:proofErr w:type="spellStart"/>
      <w:r w:rsidRPr="00864374">
        <w:t>Pzp</w:t>
      </w:r>
      <w:proofErr w:type="spellEnd"/>
      <w:r w:rsidRPr="00864374">
        <w:t>.</w:t>
      </w:r>
    </w:p>
    <w:p w:rsidR="00AC7F10" w:rsidRPr="00864374" w:rsidRDefault="00AC7F10" w:rsidP="00AC7F10">
      <w:pPr>
        <w:numPr>
          <w:ilvl w:val="0"/>
          <w:numId w:val="21"/>
        </w:numPr>
        <w:spacing w:after="0" w:line="240" w:lineRule="auto"/>
        <w:ind w:left="1418" w:hanging="425"/>
        <w:jc w:val="both"/>
      </w:pPr>
      <w:r w:rsidRPr="00864374">
        <w:t>oświadczenie o rodzaju usługi, jaką wykona poszczególny wykonawca – w przypadku wykonawców składających ofertę wspólną (zgodnie z załącznikiem nr 5 do SWZ).</w:t>
      </w:r>
    </w:p>
    <w:p w:rsidR="006948E5" w:rsidRPr="00864374" w:rsidRDefault="006948E5" w:rsidP="0060433E">
      <w:pPr>
        <w:numPr>
          <w:ilvl w:val="1"/>
          <w:numId w:val="7"/>
        </w:numPr>
        <w:spacing w:after="0" w:line="240" w:lineRule="auto"/>
        <w:ind w:left="993" w:hanging="633"/>
        <w:jc w:val="both"/>
      </w:pPr>
      <w:r w:rsidRPr="00864374">
        <w:rPr>
          <w:bCs/>
        </w:rPr>
        <w:t xml:space="preserve">Wykonawca może przed upływem terminu do składania ofert zmienić lub wycofać ofertę za pośrednictwem </w:t>
      </w:r>
      <w:r w:rsidRPr="00864374">
        <w:rPr>
          <w:bCs/>
          <w:i/>
        </w:rPr>
        <w:t>Formularza do złożenia, zmiany, wycofania oferty lub wniosku</w:t>
      </w:r>
      <w:r w:rsidRPr="00864374">
        <w:rPr>
          <w:bCs/>
        </w:rPr>
        <w:t xml:space="preserve"> dostępnego na </w:t>
      </w:r>
      <w:proofErr w:type="spellStart"/>
      <w:r w:rsidRPr="00864374">
        <w:rPr>
          <w:bCs/>
        </w:rPr>
        <w:t>ePUAP</w:t>
      </w:r>
      <w:proofErr w:type="spellEnd"/>
      <w:r w:rsidRPr="00864374">
        <w:rPr>
          <w:bCs/>
        </w:rPr>
        <w:t xml:space="preserve"> i udostępnionych również na </w:t>
      </w:r>
      <w:proofErr w:type="spellStart"/>
      <w:r w:rsidRPr="00864374">
        <w:rPr>
          <w:bCs/>
        </w:rPr>
        <w:t>miniPortalu</w:t>
      </w:r>
      <w:proofErr w:type="spellEnd"/>
      <w:r w:rsidRPr="00864374">
        <w:rPr>
          <w:bCs/>
        </w:rPr>
        <w:t xml:space="preserve">. Sposób zmiany i wycofania oferty został opisany </w:t>
      </w:r>
      <w:r w:rsidRPr="00864374">
        <w:t xml:space="preserve">w </w:t>
      </w:r>
      <w:r w:rsidRPr="00864374">
        <w:rPr>
          <w:i/>
        </w:rPr>
        <w:t xml:space="preserve">Instrukcji użytkownika systemu </w:t>
      </w:r>
      <w:proofErr w:type="spellStart"/>
      <w:r w:rsidRPr="00864374">
        <w:rPr>
          <w:i/>
        </w:rPr>
        <w:t>miniPortal-ePUAP</w:t>
      </w:r>
      <w:proofErr w:type="spellEnd"/>
      <w:r w:rsidRPr="00864374">
        <w:t xml:space="preserve"> zamieszczonej pod adresem </w:t>
      </w:r>
      <w:hyperlink r:id="rId16" w:history="1">
        <w:r w:rsidRPr="00463B90">
          <w:rPr>
            <w:rStyle w:val="Hipercze"/>
            <w:color w:val="2F5496" w:themeColor="accent1" w:themeShade="BF"/>
          </w:rPr>
          <w:t>https://miniportal.uzp.gov.pl/</w:t>
        </w:r>
      </w:hyperlink>
      <w:r w:rsidRPr="00864374">
        <w:t>.</w:t>
      </w:r>
    </w:p>
    <w:p w:rsidR="006948E5" w:rsidRPr="00864374" w:rsidRDefault="006948E5" w:rsidP="0060433E">
      <w:pPr>
        <w:numPr>
          <w:ilvl w:val="1"/>
          <w:numId w:val="7"/>
        </w:numPr>
        <w:spacing w:after="0" w:line="240" w:lineRule="auto"/>
        <w:ind w:left="993" w:hanging="633"/>
        <w:jc w:val="both"/>
      </w:pPr>
      <w:r w:rsidRPr="00864374">
        <w:rPr>
          <w:bCs/>
        </w:rPr>
        <w:t>Wykonawca po upływie terminu do składania ofert nie może skutecznie dokonać zmiany ani wycofać złożonej oferty.</w:t>
      </w:r>
    </w:p>
    <w:p w:rsidR="00EA7F33" w:rsidRPr="00864374" w:rsidRDefault="008E2F1A" w:rsidP="005D54FF">
      <w:pPr>
        <w:numPr>
          <w:ilvl w:val="1"/>
          <w:numId w:val="7"/>
        </w:numPr>
        <w:spacing w:after="0" w:line="290" w:lineRule="atLeast"/>
        <w:ind w:left="993" w:hanging="633"/>
        <w:jc w:val="both"/>
      </w:pPr>
      <w:r w:rsidRPr="00864374">
        <w:t>Po upływie terminu składania ofert, ale przed otwarciem ofert zamawiający udostępni na stronie internetowej prowadzonego postępowania informację o kwocie, jaką zamierza przeznaczyć na sfinansowanie zamówienia.</w:t>
      </w:r>
    </w:p>
    <w:p w:rsidR="006948E5" w:rsidRPr="00864374" w:rsidRDefault="006948E5" w:rsidP="005D54FF">
      <w:pPr>
        <w:spacing w:after="0" w:line="290" w:lineRule="atLeast"/>
        <w:jc w:val="both"/>
      </w:pPr>
    </w:p>
    <w:p w:rsidR="00A76E88" w:rsidRPr="00864374" w:rsidRDefault="006948E5" w:rsidP="005D54FF">
      <w:pPr>
        <w:numPr>
          <w:ilvl w:val="0"/>
          <w:numId w:val="7"/>
        </w:numPr>
        <w:spacing w:after="0" w:line="290" w:lineRule="atLeast"/>
        <w:ind w:left="426" w:hanging="426"/>
        <w:rPr>
          <w:b/>
        </w:rPr>
      </w:pPr>
      <w:r w:rsidRPr="00864374">
        <w:rPr>
          <w:b/>
        </w:rPr>
        <w:t>TERMIN OTWARCIA OFERT.</w:t>
      </w:r>
    </w:p>
    <w:p w:rsidR="00A76E88" w:rsidRPr="00864374" w:rsidRDefault="006948E5" w:rsidP="005D54FF">
      <w:pPr>
        <w:numPr>
          <w:ilvl w:val="1"/>
          <w:numId w:val="7"/>
        </w:numPr>
        <w:spacing w:after="0" w:line="290" w:lineRule="atLeast"/>
        <w:ind w:left="993" w:hanging="633"/>
        <w:jc w:val="both"/>
      </w:pPr>
      <w:r w:rsidRPr="00864374">
        <w:t>Otwarcie ofert nastąpi w dniu</w:t>
      </w:r>
      <w:r w:rsidRPr="00864374">
        <w:rPr>
          <w:b/>
          <w:bCs/>
        </w:rPr>
        <w:t xml:space="preserve"> </w:t>
      </w:r>
      <w:r w:rsidR="006E3AA1" w:rsidRPr="006E3AA1">
        <w:rPr>
          <w:b/>
          <w:bCs/>
        </w:rPr>
        <w:t>2</w:t>
      </w:r>
      <w:r w:rsidR="00114B88">
        <w:rPr>
          <w:b/>
          <w:bCs/>
        </w:rPr>
        <w:t>6</w:t>
      </w:r>
      <w:r w:rsidR="006657E2" w:rsidRPr="006E3AA1">
        <w:rPr>
          <w:b/>
          <w:spacing w:val="-2"/>
        </w:rPr>
        <w:t xml:space="preserve"> </w:t>
      </w:r>
      <w:r w:rsidR="006E3AA1" w:rsidRPr="006E3AA1">
        <w:rPr>
          <w:b/>
          <w:spacing w:val="-2"/>
        </w:rPr>
        <w:t>lip</w:t>
      </w:r>
      <w:r w:rsidR="006657E2" w:rsidRPr="006E3AA1">
        <w:rPr>
          <w:b/>
          <w:spacing w:val="-2"/>
        </w:rPr>
        <w:t>ca 2021 r.</w:t>
      </w:r>
      <w:r w:rsidR="00C96A84" w:rsidRPr="006E3AA1">
        <w:rPr>
          <w:b/>
          <w:spacing w:val="-2"/>
        </w:rPr>
        <w:t xml:space="preserve"> </w:t>
      </w:r>
      <w:r w:rsidR="00C96A84" w:rsidRPr="006E3AA1">
        <w:rPr>
          <w:b/>
          <w:bCs/>
          <w:spacing w:val="-2"/>
        </w:rPr>
        <w:t>o godz. 1</w:t>
      </w:r>
      <w:r w:rsidR="00114B88">
        <w:rPr>
          <w:b/>
          <w:bCs/>
          <w:spacing w:val="-2"/>
        </w:rPr>
        <w:t>2</w:t>
      </w:r>
      <w:r w:rsidR="00C96A84" w:rsidRPr="006E3AA1">
        <w:rPr>
          <w:b/>
          <w:bCs/>
          <w:spacing w:val="-2"/>
          <w:vertAlign w:val="superscript"/>
        </w:rPr>
        <w:t>00</w:t>
      </w:r>
      <w:r w:rsidR="00C96A84" w:rsidRPr="006E3AA1">
        <w:rPr>
          <w:b/>
          <w:bCs/>
          <w:vertAlign w:val="superscript"/>
        </w:rPr>
        <w:t xml:space="preserve"> </w:t>
      </w:r>
      <w:r w:rsidR="00C96A84" w:rsidRPr="006E3AA1">
        <w:rPr>
          <w:b/>
          <w:bCs/>
        </w:rPr>
        <w:t>.</w:t>
      </w:r>
    </w:p>
    <w:p w:rsidR="006948E5" w:rsidRPr="00864374" w:rsidRDefault="006948E5" w:rsidP="005D54FF">
      <w:pPr>
        <w:numPr>
          <w:ilvl w:val="1"/>
          <w:numId w:val="7"/>
        </w:numPr>
        <w:spacing w:after="0" w:line="290" w:lineRule="atLeast"/>
        <w:ind w:left="993" w:hanging="633"/>
        <w:jc w:val="both"/>
      </w:pPr>
      <w:r w:rsidRPr="00864374">
        <w:rPr>
          <w:bCs/>
        </w:rPr>
        <w:t>Otwarcie ofert odbywa się bez udziału wykonawców.</w:t>
      </w:r>
    </w:p>
    <w:p w:rsidR="006948E5" w:rsidRPr="00864374" w:rsidRDefault="00F332F0" w:rsidP="005D54FF">
      <w:pPr>
        <w:numPr>
          <w:ilvl w:val="1"/>
          <w:numId w:val="7"/>
        </w:numPr>
        <w:spacing w:after="0" w:line="290" w:lineRule="atLeast"/>
        <w:ind w:left="993" w:hanging="633"/>
        <w:jc w:val="both"/>
      </w:pPr>
      <w:r w:rsidRPr="00864374">
        <w:t xml:space="preserve">Otwarcie ofert następuje z użyciem mechanizmu do odszyfrowania ofert dostępnego na </w:t>
      </w:r>
      <w:proofErr w:type="spellStart"/>
      <w:r w:rsidRPr="00864374">
        <w:t>miniPortalu</w:t>
      </w:r>
      <w:proofErr w:type="spellEnd"/>
      <w:r w:rsidRPr="00864374">
        <w:t>.</w:t>
      </w:r>
    </w:p>
    <w:p w:rsidR="006948E5" w:rsidRPr="00864374" w:rsidRDefault="006948E5" w:rsidP="005D54FF">
      <w:pPr>
        <w:numPr>
          <w:ilvl w:val="1"/>
          <w:numId w:val="7"/>
        </w:numPr>
        <w:spacing w:after="0" w:line="290" w:lineRule="atLeast"/>
        <w:ind w:left="993" w:hanging="633"/>
        <w:jc w:val="both"/>
      </w:pPr>
      <w:r w:rsidRPr="00864374">
        <w:t>Niezwłocznie po otwarciu ofert zamawiający udostępni na stronie internetowej prowadzonego postępowania informacje o:</w:t>
      </w:r>
    </w:p>
    <w:p w:rsidR="006948E5" w:rsidRPr="00864374" w:rsidRDefault="006948E5" w:rsidP="005D54FF">
      <w:pPr>
        <w:numPr>
          <w:ilvl w:val="0"/>
          <w:numId w:val="23"/>
        </w:numPr>
        <w:spacing w:after="0" w:line="290" w:lineRule="atLeast"/>
        <w:ind w:left="1418" w:hanging="425"/>
        <w:jc w:val="both"/>
      </w:pPr>
      <w:r w:rsidRPr="00864374">
        <w:t>nazwach albo imionach i nazwiskach oraz siedzibach lub miejscach prowadzonej działalności gospodarczej albo miejscach zamieszkania wykonawców, których oferty zostały otwarte,</w:t>
      </w:r>
    </w:p>
    <w:p w:rsidR="006948E5" w:rsidRPr="00864374" w:rsidRDefault="006948E5" w:rsidP="005D54FF">
      <w:pPr>
        <w:numPr>
          <w:ilvl w:val="0"/>
          <w:numId w:val="23"/>
        </w:numPr>
        <w:spacing w:after="0" w:line="290" w:lineRule="atLeast"/>
        <w:ind w:left="1418" w:hanging="425"/>
        <w:jc w:val="both"/>
      </w:pPr>
      <w:r w:rsidRPr="00864374">
        <w:t>cenach zawartych w ofertach.</w:t>
      </w:r>
    </w:p>
    <w:p w:rsidR="006948E5" w:rsidRPr="00864374" w:rsidRDefault="006948E5" w:rsidP="005D54FF">
      <w:pPr>
        <w:spacing w:after="0" w:line="290" w:lineRule="atLeast"/>
        <w:jc w:val="both"/>
      </w:pPr>
    </w:p>
    <w:p w:rsidR="00114684" w:rsidRPr="00864374" w:rsidRDefault="006948E5" w:rsidP="005D54FF">
      <w:pPr>
        <w:numPr>
          <w:ilvl w:val="0"/>
          <w:numId w:val="7"/>
        </w:numPr>
        <w:spacing w:after="0" w:line="290" w:lineRule="atLeast"/>
        <w:ind w:left="426" w:hanging="426"/>
        <w:rPr>
          <w:b/>
        </w:rPr>
      </w:pPr>
      <w:r w:rsidRPr="00864374">
        <w:rPr>
          <w:b/>
          <w:bCs/>
        </w:rPr>
        <w:t>SPOSÓB OBLICZENIA CENY.</w:t>
      </w:r>
    </w:p>
    <w:p w:rsidR="006948E5" w:rsidRPr="00CF61D2" w:rsidRDefault="004E3AF9" w:rsidP="005D54FF">
      <w:pPr>
        <w:numPr>
          <w:ilvl w:val="1"/>
          <w:numId w:val="7"/>
        </w:numPr>
        <w:spacing w:after="0" w:line="290" w:lineRule="atLeast"/>
        <w:ind w:left="993" w:hanging="633"/>
        <w:jc w:val="both"/>
        <w:rPr>
          <w:color w:val="1F3864" w:themeColor="accent1" w:themeShade="80"/>
          <w:sz w:val="24"/>
        </w:rPr>
      </w:pPr>
      <w:r w:rsidRPr="00864374">
        <w:rPr>
          <w:szCs w:val="20"/>
        </w:rPr>
        <w:t>Cena (łączna składka) za realizację</w:t>
      </w:r>
      <w:r w:rsidRPr="00CF61D2">
        <w:rPr>
          <w:szCs w:val="20"/>
        </w:rPr>
        <w:t xml:space="preserve"> zamówienia to składka ubezpieczeniowa wyrażona w jednostkach pieniężnych, którą zamawiający będzie zobowiązany zapłacić wykonawcy za udzielaną ochronę ubezpieczeniową na warunkach i zasadach opisanych w dokumentach zamówienia. W cenie nie uwzględnia się podatku od towaru i usług gdyż usługa ubezpieczeniowa nie podlega obciążeniu tym podatkiem.</w:t>
      </w:r>
    </w:p>
    <w:p w:rsidR="004E3AF9" w:rsidRPr="00CF61D2" w:rsidRDefault="004E3AF9" w:rsidP="005D54FF">
      <w:pPr>
        <w:numPr>
          <w:ilvl w:val="1"/>
          <w:numId w:val="7"/>
        </w:numPr>
        <w:spacing w:after="0" w:line="290" w:lineRule="atLeast"/>
        <w:ind w:left="993" w:hanging="633"/>
        <w:jc w:val="both"/>
        <w:rPr>
          <w:color w:val="1F3864" w:themeColor="accent1" w:themeShade="80"/>
          <w:sz w:val="24"/>
        </w:rPr>
      </w:pPr>
      <w:r w:rsidRPr="00CF61D2">
        <w:rPr>
          <w:szCs w:val="20"/>
        </w:rPr>
        <w:t xml:space="preserve">Cena musi być </w:t>
      </w:r>
      <w:r w:rsidRPr="002473EB">
        <w:rPr>
          <w:szCs w:val="20"/>
        </w:rPr>
        <w:t>podana w złotych i wyliczona</w:t>
      </w:r>
      <w:r w:rsidRPr="00CF61D2">
        <w:rPr>
          <w:szCs w:val="20"/>
        </w:rPr>
        <w:t xml:space="preserve"> w zaokrągleniu do dwóch miejsc po przecinku.</w:t>
      </w:r>
    </w:p>
    <w:p w:rsidR="004E3AF9" w:rsidRPr="00CF61D2" w:rsidRDefault="004E3AF9" w:rsidP="005D54FF">
      <w:pPr>
        <w:numPr>
          <w:ilvl w:val="1"/>
          <w:numId w:val="7"/>
        </w:numPr>
        <w:spacing w:after="0" w:line="290" w:lineRule="atLeast"/>
        <w:ind w:left="993" w:hanging="633"/>
        <w:jc w:val="both"/>
        <w:rPr>
          <w:color w:val="1F3864" w:themeColor="accent1" w:themeShade="80"/>
          <w:sz w:val="24"/>
        </w:rPr>
      </w:pPr>
      <w:r w:rsidRPr="00CF61D2">
        <w:rPr>
          <w:szCs w:val="20"/>
        </w:rPr>
        <w:t xml:space="preserve">Wykonawca wyliczając cenę jest zobowiązany wziąć pod uwagę przepisy </w:t>
      </w:r>
      <w:proofErr w:type="spellStart"/>
      <w:r w:rsidRPr="00CF61D2">
        <w:rPr>
          <w:szCs w:val="20"/>
        </w:rPr>
        <w:t>UDUiR</w:t>
      </w:r>
      <w:proofErr w:type="spellEnd"/>
      <w:r w:rsidRPr="00CF61D2">
        <w:rPr>
          <w:szCs w:val="20"/>
        </w:rPr>
        <w:t>. Składka winna zostać obliczona za czas trwania odpowiedzialności wykonawcy, z uwzględnieniem rodzaju prowadzonej działalności, przedmiotu ubezpieczenia, wysokości sum ubezpieczenia i limitów odpowiedzialności wykonawcy, zakresu ubezpieczenia oraz indywidualnej oceny ryzyka.</w:t>
      </w:r>
    </w:p>
    <w:p w:rsidR="004E3AF9" w:rsidRPr="00CF61D2" w:rsidRDefault="004E3AF9" w:rsidP="005D54FF">
      <w:pPr>
        <w:numPr>
          <w:ilvl w:val="1"/>
          <w:numId w:val="7"/>
        </w:numPr>
        <w:spacing w:after="0" w:line="290" w:lineRule="atLeast"/>
        <w:ind w:left="993" w:hanging="633"/>
        <w:jc w:val="both"/>
        <w:rPr>
          <w:color w:val="1F3864" w:themeColor="accent1" w:themeShade="80"/>
          <w:sz w:val="24"/>
        </w:rPr>
      </w:pPr>
      <w:r w:rsidRPr="00CF61D2">
        <w:rPr>
          <w:szCs w:val="20"/>
        </w:rPr>
        <w:t>Sposób obliczenia ceny za realizację zamówienia wskazano we wzorze formularza oferty stanowiącym załącznik nr 1 SWZ.</w:t>
      </w:r>
    </w:p>
    <w:p w:rsidR="004E3AF9" w:rsidRPr="00CF61D2" w:rsidRDefault="004E3AF9" w:rsidP="005D54FF">
      <w:pPr>
        <w:numPr>
          <w:ilvl w:val="1"/>
          <w:numId w:val="7"/>
        </w:numPr>
        <w:spacing w:after="0" w:line="290" w:lineRule="atLeast"/>
        <w:ind w:left="993" w:hanging="633"/>
        <w:jc w:val="both"/>
        <w:rPr>
          <w:color w:val="1F3864" w:themeColor="accent1" w:themeShade="80"/>
          <w:sz w:val="24"/>
        </w:rPr>
      </w:pPr>
      <w:r w:rsidRPr="00CF61D2">
        <w:rPr>
          <w:szCs w:val="20"/>
        </w:rPr>
        <w:t>Cena określona przez wykonawcę w celu realizacji zamówienia stanowić będzie cenę za pomocą której zamawiający dokona oceny ofert.</w:t>
      </w:r>
    </w:p>
    <w:p w:rsidR="004E3AF9" w:rsidRPr="00CF61D2" w:rsidRDefault="004E3AF9" w:rsidP="005D54FF">
      <w:pPr>
        <w:numPr>
          <w:ilvl w:val="1"/>
          <w:numId w:val="7"/>
        </w:numPr>
        <w:spacing w:after="0" w:line="290" w:lineRule="atLeast"/>
        <w:ind w:left="993" w:hanging="633"/>
        <w:jc w:val="both"/>
        <w:rPr>
          <w:color w:val="1F3864" w:themeColor="accent1" w:themeShade="80"/>
          <w:sz w:val="24"/>
        </w:rPr>
      </w:pPr>
      <w:r w:rsidRPr="00CF61D2">
        <w:rPr>
          <w:szCs w:val="20"/>
        </w:rPr>
        <w:t>Cena to wartość zobowiązania zamawiającego wynikając</w:t>
      </w:r>
      <w:r w:rsidR="00114B88">
        <w:rPr>
          <w:szCs w:val="20"/>
        </w:rPr>
        <w:t>a</w:t>
      </w:r>
      <w:r w:rsidRPr="00CF61D2">
        <w:rPr>
          <w:szCs w:val="20"/>
        </w:rPr>
        <w:t xml:space="preserve"> z umowy w sprawie zamówienia publicznego. Kwota jaką zamawiający zapłaci za realizację umowy w przedmiocie zamówienia stanowić będzie, zgodnie z dokumentami zamówienia, cena z uwzględnieniem </w:t>
      </w:r>
      <w:r w:rsidRPr="00CF61D2">
        <w:rPr>
          <w:szCs w:val="20"/>
        </w:rPr>
        <w:lastRenderedPageBreak/>
        <w:t xml:space="preserve">charakteru zamówienia opcjonalnego oraz możliwości wprowadzenia zmian umowy w myśl przepisu art. 455 </w:t>
      </w:r>
      <w:proofErr w:type="spellStart"/>
      <w:r w:rsidRPr="00CF61D2">
        <w:rPr>
          <w:szCs w:val="20"/>
        </w:rPr>
        <w:t>P</w:t>
      </w:r>
      <w:r w:rsidR="00CF61D2" w:rsidRPr="00CF61D2">
        <w:rPr>
          <w:szCs w:val="20"/>
        </w:rPr>
        <w:t>zp</w:t>
      </w:r>
      <w:proofErr w:type="spellEnd"/>
      <w:r w:rsidR="00AF4EFA">
        <w:rPr>
          <w:szCs w:val="20"/>
        </w:rPr>
        <w:t>.</w:t>
      </w:r>
    </w:p>
    <w:p w:rsidR="00CF61D2" w:rsidRPr="00CF61D2" w:rsidRDefault="00CF61D2" w:rsidP="005D54FF">
      <w:pPr>
        <w:numPr>
          <w:ilvl w:val="1"/>
          <w:numId w:val="7"/>
        </w:numPr>
        <w:spacing w:after="0" w:line="290" w:lineRule="atLeast"/>
        <w:ind w:left="993" w:hanging="633"/>
        <w:jc w:val="both"/>
        <w:rPr>
          <w:color w:val="1F3864" w:themeColor="accent1" w:themeShade="80"/>
          <w:sz w:val="24"/>
        </w:rPr>
      </w:pPr>
      <w:r w:rsidRPr="00CF61D2">
        <w:rPr>
          <w:szCs w:val="20"/>
        </w:rPr>
        <w:t>Pod pojęciem ceny ofertowej, zamawiający rozumie cenę całkowitą za realizację zamówienia podstawowego i zamówienia opcjonalnego odpowiadającą ustalonej szacunkowej wartości zamówienia.</w:t>
      </w:r>
    </w:p>
    <w:p w:rsidR="00CF61D2" w:rsidRPr="00CF61D2" w:rsidRDefault="00CF61D2" w:rsidP="005D54FF">
      <w:pPr>
        <w:numPr>
          <w:ilvl w:val="1"/>
          <w:numId w:val="7"/>
        </w:numPr>
        <w:spacing w:after="0" w:line="290" w:lineRule="atLeast"/>
        <w:ind w:left="993" w:hanging="633"/>
        <w:jc w:val="both"/>
        <w:rPr>
          <w:color w:val="1F3864" w:themeColor="accent1" w:themeShade="80"/>
          <w:sz w:val="24"/>
        </w:rPr>
      </w:pPr>
      <w:r w:rsidRPr="00CF61D2">
        <w:rPr>
          <w:szCs w:val="20"/>
        </w:rPr>
        <w:t xml:space="preserve">Maksymalna wartość opcji zwiększającej (zamówienia opcjonalnego) to 5% ceny, o której mowa w </w:t>
      </w:r>
      <w:r w:rsidR="00864374">
        <w:rPr>
          <w:szCs w:val="20"/>
        </w:rPr>
        <w:t>pkt 13.</w:t>
      </w:r>
      <w:r w:rsidRPr="00CF61D2">
        <w:rPr>
          <w:szCs w:val="20"/>
        </w:rPr>
        <w:t>1. Zamawiający zabezpieczy środki finansowe na realizację zamówienia podstawowego. Zamówienie opcjonalne będzie realizowane na zasadach opisanych we wzorze umowy pod warunkiem dysponowania środkami finansowymi na jego realizację w budżecie zamawiającego. Oznacza to, że zastosowanie opcji polegającej na zwiększeniu zakresu zamówienia nie skutkuje koniecznością zabezpieczenia środków na realizację zamówienia opcjonalnego.</w:t>
      </w:r>
    </w:p>
    <w:p w:rsidR="00CF61D2" w:rsidRPr="00CF61D2" w:rsidRDefault="00CF61D2" w:rsidP="005D54FF">
      <w:pPr>
        <w:numPr>
          <w:ilvl w:val="1"/>
          <w:numId w:val="7"/>
        </w:numPr>
        <w:spacing w:after="0" w:line="290" w:lineRule="atLeast"/>
        <w:ind w:left="993" w:hanging="633"/>
        <w:jc w:val="both"/>
        <w:rPr>
          <w:color w:val="1F3864" w:themeColor="accent1" w:themeShade="80"/>
          <w:sz w:val="24"/>
        </w:rPr>
      </w:pPr>
      <w:r w:rsidRPr="00CF61D2">
        <w:rPr>
          <w:szCs w:val="20"/>
        </w:rPr>
        <w:t>Rozliczenia między zamawiającym a wykonawcą będą prowadzone w złotych polskich (PLN).</w:t>
      </w:r>
    </w:p>
    <w:p w:rsidR="00CF61D2" w:rsidRPr="00CF61D2" w:rsidRDefault="00CF61D2" w:rsidP="005D54FF">
      <w:pPr>
        <w:numPr>
          <w:ilvl w:val="1"/>
          <w:numId w:val="7"/>
        </w:numPr>
        <w:spacing w:after="0" w:line="290" w:lineRule="atLeast"/>
        <w:ind w:left="993" w:hanging="633"/>
        <w:jc w:val="both"/>
        <w:rPr>
          <w:color w:val="1F3864" w:themeColor="accent1" w:themeShade="80"/>
          <w:sz w:val="24"/>
        </w:rPr>
      </w:pPr>
      <w:r w:rsidRPr="00CF61D2">
        <w:rPr>
          <w:szCs w:val="20"/>
        </w:rPr>
        <w:t xml:space="preserve">Umowa ubezpieczenia zawarta w wyniku niniejszego postępowania z wykonawcą będącym zakładem ubezpieczeń wykonującym działalność w formie towarzystwa ubezpieczeń wzajemnych, nie będzie umową ubezpieczenia na zasadzie wzajemności, o której mowa w art. 102 </w:t>
      </w:r>
      <w:proofErr w:type="spellStart"/>
      <w:r w:rsidRPr="00CF61D2">
        <w:rPr>
          <w:szCs w:val="20"/>
        </w:rPr>
        <w:t>UDUiR</w:t>
      </w:r>
      <w:proofErr w:type="spellEnd"/>
      <w:r w:rsidRPr="00CF61D2">
        <w:rPr>
          <w:szCs w:val="20"/>
        </w:rPr>
        <w:t>. Zamawiający nie będzie zobowiązany do udziału w pokrywaniu strat towarzystwa ubezpieczeń wzajemnych przez wnoszenie dodatkowej składki.</w:t>
      </w:r>
    </w:p>
    <w:p w:rsidR="006948E5" w:rsidRPr="00864374" w:rsidRDefault="006948E5" w:rsidP="005D54FF">
      <w:pPr>
        <w:spacing w:after="0" w:line="290" w:lineRule="atLeast"/>
      </w:pPr>
    </w:p>
    <w:p w:rsidR="00A76E88" w:rsidRPr="00864374" w:rsidRDefault="006948E5" w:rsidP="005D54FF">
      <w:pPr>
        <w:numPr>
          <w:ilvl w:val="0"/>
          <w:numId w:val="7"/>
        </w:numPr>
        <w:spacing w:after="0" w:line="290" w:lineRule="atLeast"/>
        <w:ind w:left="426" w:hanging="426"/>
      </w:pPr>
      <w:r w:rsidRPr="00864374">
        <w:rPr>
          <w:b/>
          <w:bCs/>
        </w:rPr>
        <w:t>OPIS KRYTERIÓW OCENY OFERT.</w:t>
      </w:r>
    </w:p>
    <w:p w:rsidR="006948E5" w:rsidRPr="00864374" w:rsidRDefault="00084B6D" w:rsidP="005D54FF">
      <w:pPr>
        <w:numPr>
          <w:ilvl w:val="1"/>
          <w:numId w:val="7"/>
        </w:numPr>
        <w:spacing w:after="0" w:line="290" w:lineRule="atLeast"/>
        <w:ind w:left="993" w:hanging="633"/>
        <w:jc w:val="both"/>
      </w:pPr>
      <w:r w:rsidRPr="00864374">
        <w:t>Zamawiający wybierze najkorzystniejszą ofertę na podstawie kryteriów oceny ofert określonych w pkt 14.3.</w:t>
      </w:r>
    </w:p>
    <w:p w:rsidR="006948E5" w:rsidRPr="00864374" w:rsidRDefault="00084B6D" w:rsidP="005D54FF">
      <w:pPr>
        <w:numPr>
          <w:ilvl w:val="1"/>
          <w:numId w:val="7"/>
        </w:numPr>
        <w:spacing w:after="0" w:line="290" w:lineRule="atLeast"/>
        <w:ind w:left="993" w:hanging="633"/>
        <w:jc w:val="both"/>
      </w:pPr>
      <w:r w:rsidRPr="00864374">
        <w:t>Oceniane będą wyłącznie oferty niepodlegające odrzuceniu</w:t>
      </w:r>
      <w:r w:rsidR="006948E5" w:rsidRPr="00864374">
        <w:t>.</w:t>
      </w:r>
    </w:p>
    <w:p w:rsidR="00084B6D" w:rsidRPr="00864374" w:rsidRDefault="00084B6D" w:rsidP="005D54FF">
      <w:pPr>
        <w:numPr>
          <w:ilvl w:val="1"/>
          <w:numId w:val="7"/>
        </w:numPr>
        <w:spacing w:after="0" w:line="290" w:lineRule="atLeast"/>
        <w:ind w:left="993" w:hanging="633"/>
        <w:jc w:val="both"/>
      </w:pPr>
      <w:r w:rsidRPr="00864374">
        <w:t>Za ofertę najkorzystniejszą zostanie uznana oferta zawierająca najkorzystniejszy bilans punktów w kryteriach:</w:t>
      </w:r>
    </w:p>
    <w:p w:rsidR="00084B6D" w:rsidRPr="00864374" w:rsidRDefault="00084B6D" w:rsidP="00084B6D">
      <w:pPr>
        <w:pStyle w:val="Akapitzlist"/>
        <w:numPr>
          <w:ilvl w:val="0"/>
          <w:numId w:val="31"/>
        </w:numPr>
        <w:spacing w:after="0" w:line="290" w:lineRule="atLeast"/>
        <w:jc w:val="both"/>
      </w:pPr>
      <w:r w:rsidRPr="00864374">
        <w:t xml:space="preserve">kryterium nr 1: cena – </w:t>
      </w:r>
      <w:proofErr w:type="spellStart"/>
      <w:r w:rsidRPr="00864374">
        <w:t>Pc</w:t>
      </w:r>
      <w:proofErr w:type="spellEnd"/>
    </w:p>
    <w:p w:rsidR="00084B6D" w:rsidRPr="00864374" w:rsidRDefault="00084B6D" w:rsidP="00084B6D">
      <w:pPr>
        <w:pStyle w:val="Akapitzlist"/>
        <w:numPr>
          <w:ilvl w:val="0"/>
          <w:numId w:val="31"/>
        </w:numPr>
        <w:spacing w:after="0" w:line="290" w:lineRule="atLeast"/>
        <w:jc w:val="both"/>
      </w:pPr>
      <w:r w:rsidRPr="00864374">
        <w:t xml:space="preserve">kryterium nr 2: warunki dodatkowe – </w:t>
      </w:r>
      <w:proofErr w:type="spellStart"/>
      <w:r w:rsidRPr="00864374">
        <w:t>Pz</w:t>
      </w:r>
      <w:proofErr w:type="spellEnd"/>
    </w:p>
    <w:p w:rsidR="00084B6D" w:rsidRPr="00864374" w:rsidRDefault="00084B6D" w:rsidP="005D54FF">
      <w:pPr>
        <w:numPr>
          <w:ilvl w:val="1"/>
          <w:numId w:val="7"/>
        </w:numPr>
        <w:spacing w:after="0" w:line="290" w:lineRule="atLeast"/>
        <w:ind w:left="993" w:hanging="633"/>
        <w:jc w:val="both"/>
      </w:pPr>
      <w:r w:rsidRPr="00864374">
        <w:t>Kryteriom, o których mowa w pkt 14.1. zamawiający przypisał następujące znaczenie:</w:t>
      </w:r>
    </w:p>
    <w:p w:rsidR="001D6CFE" w:rsidRPr="000A672B" w:rsidRDefault="001D6CFE" w:rsidP="007A7F0A">
      <w:pPr>
        <w:tabs>
          <w:tab w:val="left" w:pos="1950"/>
        </w:tabs>
        <w:spacing w:after="0" w:line="240" w:lineRule="auto"/>
        <w:contextualSpacing/>
        <w:jc w:val="both"/>
        <w:rPr>
          <w:sz w:val="20"/>
          <w:szCs w:val="20"/>
        </w:rPr>
      </w:pPr>
    </w:p>
    <w:tbl>
      <w:tblPr>
        <w:tblStyle w:val="Tabela-Siatka"/>
        <w:tblW w:w="8788" w:type="dxa"/>
        <w:tblInd w:w="392" w:type="dxa"/>
        <w:tblLook w:val="04A0" w:firstRow="1" w:lastRow="0" w:firstColumn="1" w:lastColumn="0" w:noHBand="0" w:noVBand="1"/>
      </w:tblPr>
      <w:tblGrid>
        <w:gridCol w:w="2693"/>
        <w:gridCol w:w="1134"/>
        <w:gridCol w:w="1985"/>
        <w:gridCol w:w="2976"/>
      </w:tblGrid>
      <w:tr w:rsidR="00084B6D" w:rsidRPr="000A672B" w:rsidTr="007A7F0A">
        <w:trPr>
          <w:trHeight w:val="657"/>
        </w:trPr>
        <w:tc>
          <w:tcPr>
            <w:tcW w:w="2693" w:type="dxa"/>
            <w:shd w:val="clear" w:color="auto" w:fill="EEECE1"/>
          </w:tcPr>
          <w:p w:rsidR="00084B6D" w:rsidRPr="000A672B" w:rsidRDefault="00084B6D" w:rsidP="00084B6D">
            <w:pPr>
              <w:tabs>
                <w:tab w:val="left" w:pos="1950"/>
              </w:tabs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  <w:p w:rsidR="00084B6D" w:rsidRPr="000A672B" w:rsidRDefault="00084B6D" w:rsidP="00084B6D">
            <w:pPr>
              <w:tabs>
                <w:tab w:val="left" w:pos="1950"/>
              </w:tabs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0A672B">
              <w:rPr>
                <w:rFonts w:eastAsia="Calibri" w:cs="Times New Roman"/>
                <w:sz w:val="20"/>
                <w:szCs w:val="20"/>
              </w:rPr>
              <w:t>Kryterium</w:t>
            </w:r>
          </w:p>
          <w:p w:rsidR="00084B6D" w:rsidRPr="000A672B" w:rsidRDefault="00084B6D" w:rsidP="00084B6D">
            <w:pPr>
              <w:tabs>
                <w:tab w:val="left" w:pos="1950"/>
              </w:tabs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EEECE1"/>
          </w:tcPr>
          <w:p w:rsidR="00084B6D" w:rsidRPr="000A672B" w:rsidRDefault="00084B6D" w:rsidP="00084B6D">
            <w:pPr>
              <w:tabs>
                <w:tab w:val="left" w:pos="1950"/>
              </w:tabs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  <w:p w:rsidR="00084B6D" w:rsidRPr="000A672B" w:rsidRDefault="00084B6D" w:rsidP="00084B6D">
            <w:pPr>
              <w:tabs>
                <w:tab w:val="left" w:pos="1950"/>
              </w:tabs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0A672B">
              <w:rPr>
                <w:rFonts w:eastAsia="Calibri" w:cs="Times New Roman"/>
                <w:sz w:val="20"/>
                <w:szCs w:val="20"/>
              </w:rPr>
              <w:t>Waga (%)</w:t>
            </w:r>
          </w:p>
        </w:tc>
        <w:tc>
          <w:tcPr>
            <w:tcW w:w="1985" w:type="dxa"/>
            <w:shd w:val="clear" w:color="auto" w:fill="EEECE1"/>
          </w:tcPr>
          <w:p w:rsidR="00084B6D" w:rsidRPr="000A672B" w:rsidRDefault="00084B6D" w:rsidP="00084B6D">
            <w:pPr>
              <w:tabs>
                <w:tab w:val="left" w:pos="1950"/>
              </w:tabs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  <w:p w:rsidR="00084B6D" w:rsidRPr="000A672B" w:rsidRDefault="00084B6D" w:rsidP="00084B6D">
            <w:pPr>
              <w:tabs>
                <w:tab w:val="left" w:pos="1950"/>
              </w:tabs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0A672B">
              <w:rPr>
                <w:rFonts w:eastAsia="Calibri" w:cs="Times New Roman"/>
                <w:sz w:val="20"/>
                <w:szCs w:val="20"/>
              </w:rPr>
              <w:t>Liczba punktów</w:t>
            </w:r>
          </w:p>
          <w:p w:rsidR="00084B6D" w:rsidRPr="000A672B" w:rsidRDefault="00084B6D" w:rsidP="00084B6D">
            <w:pPr>
              <w:tabs>
                <w:tab w:val="left" w:pos="1950"/>
              </w:tabs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EEECE1"/>
          </w:tcPr>
          <w:p w:rsidR="00084B6D" w:rsidRPr="000A672B" w:rsidRDefault="00084B6D" w:rsidP="00084B6D">
            <w:pPr>
              <w:tabs>
                <w:tab w:val="left" w:pos="1950"/>
              </w:tabs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  <w:p w:rsidR="00084B6D" w:rsidRPr="000A672B" w:rsidRDefault="00084B6D" w:rsidP="00084B6D">
            <w:pPr>
              <w:tabs>
                <w:tab w:val="left" w:pos="1950"/>
              </w:tabs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0A672B">
              <w:rPr>
                <w:rFonts w:eastAsia="Calibri" w:cs="Times New Roman"/>
                <w:sz w:val="20"/>
                <w:szCs w:val="20"/>
              </w:rPr>
              <w:t>Sposób oceny według wzoru</w:t>
            </w:r>
          </w:p>
        </w:tc>
      </w:tr>
      <w:tr w:rsidR="00084B6D" w:rsidRPr="000A672B" w:rsidTr="007A7F0A">
        <w:trPr>
          <w:trHeight w:val="1051"/>
        </w:trPr>
        <w:tc>
          <w:tcPr>
            <w:tcW w:w="2693" w:type="dxa"/>
            <w:shd w:val="clear" w:color="auto" w:fill="EEECE1"/>
          </w:tcPr>
          <w:p w:rsidR="00084B6D" w:rsidRPr="000A672B" w:rsidRDefault="00084B6D" w:rsidP="00084B6D">
            <w:pPr>
              <w:tabs>
                <w:tab w:val="left" w:pos="1950"/>
              </w:tabs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                  </w:t>
            </w:r>
          </w:p>
          <w:p w:rsidR="00084B6D" w:rsidRPr="001D6CFE" w:rsidRDefault="001D6CFE" w:rsidP="00084B6D">
            <w:pPr>
              <w:tabs>
                <w:tab w:val="left" w:pos="1950"/>
              </w:tabs>
              <w:spacing w:after="0" w:line="240" w:lineRule="auto"/>
              <w:jc w:val="both"/>
              <w:rPr>
                <w:rFonts w:eastAsia="Calibri" w:cs="Times New Roman"/>
                <w:color w:val="FF0000"/>
                <w:sz w:val="20"/>
                <w:szCs w:val="20"/>
              </w:rPr>
            </w:pPr>
            <w:r w:rsidRPr="00A12FCC">
              <w:rPr>
                <w:rFonts w:eastAsia="Calibri" w:cs="Times New Roman"/>
                <w:sz w:val="20"/>
                <w:szCs w:val="20"/>
              </w:rPr>
              <w:t>Cena</w:t>
            </w:r>
          </w:p>
        </w:tc>
        <w:tc>
          <w:tcPr>
            <w:tcW w:w="1134" w:type="dxa"/>
          </w:tcPr>
          <w:p w:rsidR="00084B6D" w:rsidRPr="000A672B" w:rsidRDefault="00084B6D" w:rsidP="00084B6D">
            <w:pPr>
              <w:tabs>
                <w:tab w:val="left" w:pos="1950"/>
              </w:tabs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084B6D" w:rsidRPr="000A672B" w:rsidRDefault="00084B6D" w:rsidP="00084B6D">
            <w:pPr>
              <w:tabs>
                <w:tab w:val="left" w:pos="1950"/>
              </w:tabs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7</w:t>
            </w:r>
            <w:r w:rsidRPr="000A672B">
              <w:rPr>
                <w:rFonts w:eastAsia="Calibri" w:cs="Times New Roman"/>
                <w:sz w:val="20"/>
                <w:szCs w:val="20"/>
              </w:rPr>
              <w:t>0%</w:t>
            </w:r>
          </w:p>
        </w:tc>
        <w:tc>
          <w:tcPr>
            <w:tcW w:w="1985" w:type="dxa"/>
          </w:tcPr>
          <w:p w:rsidR="00084B6D" w:rsidRPr="000A672B" w:rsidRDefault="00084B6D" w:rsidP="00084B6D">
            <w:pPr>
              <w:tabs>
                <w:tab w:val="left" w:pos="1950"/>
              </w:tabs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084B6D" w:rsidRPr="000A672B" w:rsidRDefault="00084B6D" w:rsidP="00084B6D">
            <w:pPr>
              <w:tabs>
                <w:tab w:val="left" w:pos="1950"/>
              </w:tabs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7</w:t>
            </w:r>
            <w:r w:rsidRPr="000A672B">
              <w:rPr>
                <w:rFonts w:eastAsia="Calibri" w:cs="Times New Roman"/>
                <w:sz w:val="20"/>
                <w:szCs w:val="20"/>
              </w:rPr>
              <w:t>0</w:t>
            </w:r>
          </w:p>
        </w:tc>
        <w:tc>
          <w:tcPr>
            <w:tcW w:w="2976" w:type="dxa"/>
          </w:tcPr>
          <w:p w:rsidR="00084B6D" w:rsidRPr="007A7F0A" w:rsidRDefault="00084B6D" w:rsidP="00084B6D">
            <w:pPr>
              <w:tabs>
                <w:tab w:val="left" w:pos="1950"/>
              </w:tabs>
              <w:spacing w:after="0" w:line="240" w:lineRule="auto"/>
              <w:jc w:val="both"/>
              <w:rPr>
                <w:rFonts w:eastAsia="Calibri" w:cs="Times New Roman"/>
                <w:sz w:val="12"/>
                <w:szCs w:val="12"/>
              </w:rPr>
            </w:pPr>
          </w:p>
          <w:p w:rsidR="00084B6D" w:rsidRPr="000A672B" w:rsidRDefault="00084B6D" w:rsidP="00084B6D">
            <w:pPr>
              <w:tabs>
                <w:tab w:val="left" w:pos="1950"/>
              </w:tabs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proofErr w:type="spellStart"/>
            <w:r w:rsidRPr="000A672B">
              <w:rPr>
                <w:rFonts w:eastAsia="Calibri" w:cs="Times New Roman"/>
                <w:sz w:val="20"/>
                <w:szCs w:val="20"/>
              </w:rPr>
              <w:t>Pc</w:t>
            </w:r>
            <w:proofErr w:type="spellEnd"/>
            <w:r w:rsidRPr="000A672B">
              <w:rPr>
                <w:rFonts w:eastAsia="Calibri" w:cs="Times New Roman"/>
                <w:sz w:val="20"/>
                <w:szCs w:val="20"/>
              </w:rPr>
              <w:t xml:space="preserve"> =</w:t>
            </w:r>
          </w:p>
          <w:p w:rsidR="001D6CFE" w:rsidRPr="000A672B" w:rsidRDefault="00084B6D" w:rsidP="00084B6D">
            <w:pPr>
              <w:tabs>
                <w:tab w:val="left" w:pos="1950"/>
              </w:tabs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0A672B">
              <w:rPr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914400" cy="396240"/>
                  <wp:effectExtent l="0" t="0" r="0" b="3810"/>
                  <wp:docPr id="10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3962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4B6D" w:rsidRPr="000A672B" w:rsidTr="00FB332F">
        <w:tc>
          <w:tcPr>
            <w:tcW w:w="2693" w:type="dxa"/>
            <w:shd w:val="clear" w:color="auto" w:fill="EEECE1"/>
          </w:tcPr>
          <w:p w:rsidR="00084B6D" w:rsidRPr="000A672B" w:rsidRDefault="00084B6D" w:rsidP="00084B6D">
            <w:pPr>
              <w:tabs>
                <w:tab w:val="left" w:pos="1950"/>
              </w:tabs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084B6D" w:rsidRPr="000A672B" w:rsidRDefault="00084B6D" w:rsidP="00084B6D">
            <w:pPr>
              <w:tabs>
                <w:tab w:val="left" w:pos="1950"/>
              </w:tabs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Warunki dodatkowe</w:t>
            </w:r>
          </w:p>
          <w:p w:rsidR="00084B6D" w:rsidRPr="000A672B" w:rsidRDefault="00084B6D" w:rsidP="00084B6D">
            <w:pPr>
              <w:tabs>
                <w:tab w:val="left" w:pos="1950"/>
              </w:tabs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84B6D" w:rsidRPr="000A672B" w:rsidRDefault="00084B6D" w:rsidP="00084B6D">
            <w:pPr>
              <w:tabs>
                <w:tab w:val="left" w:pos="1950"/>
              </w:tabs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084B6D" w:rsidRPr="000A672B" w:rsidRDefault="00084B6D" w:rsidP="00084B6D">
            <w:pPr>
              <w:tabs>
                <w:tab w:val="left" w:pos="1950"/>
              </w:tabs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3</w:t>
            </w:r>
            <w:r w:rsidRPr="000A672B">
              <w:rPr>
                <w:rFonts w:eastAsia="Calibri" w:cs="Times New Roman"/>
                <w:sz w:val="20"/>
                <w:szCs w:val="20"/>
              </w:rPr>
              <w:t>0%</w:t>
            </w:r>
          </w:p>
        </w:tc>
        <w:tc>
          <w:tcPr>
            <w:tcW w:w="1985" w:type="dxa"/>
          </w:tcPr>
          <w:p w:rsidR="00084B6D" w:rsidRPr="000A672B" w:rsidRDefault="00084B6D" w:rsidP="00084B6D">
            <w:pPr>
              <w:tabs>
                <w:tab w:val="left" w:pos="1950"/>
              </w:tabs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084B6D" w:rsidRPr="000A672B" w:rsidRDefault="00084B6D" w:rsidP="00084B6D">
            <w:pPr>
              <w:tabs>
                <w:tab w:val="left" w:pos="1950"/>
              </w:tabs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3</w:t>
            </w:r>
            <w:r w:rsidRPr="000A672B">
              <w:rPr>
                <w:rFonts w:eastAsia="Calibri" w:cs="Times New Roman"/>
                <w:sz w:val="20"/>
                <w:szCs w:val="20"/>
              </w:rPr>
              <w:t>0</w:t>
            </w:r>
          </w:p>
        </w:tc>
        <w:tc>
          <w:tcPr>
            <w:tcW w:w="2976" w:type="dxa"/>
          </w:tcPr>
          <w:p w:rsidR="00084B6D" w:rsidRPr="007A7F0A" w:rsidRDefault="00084B6D" w:rsidP="00084B6D">
            <w:pPr>
              <w:tabs>
                <w:tab w:val="left" w:pos="1950"/>
              </w:tabs>
              <w:spacing w:after="0" w:line="240" w:lineRule="auto"/>
              <w:jc w:val="both"/>
              <w:rPr>
                <w:rFonts w:eastAsia="Calibri" w:cs="Times New Roman"/>
                <w:sz w:val="12"/>
                <w:szCs w:val="12"/>
              </w:rPr>
            </w:pPr>
          </w:p>
          <w:p w:rsidR="00084B6D" w:rsidRPr="000A672B" w:rsidRDefault="00084B6D" w:rsidP="00084B6D">
            <w:pPr>
              <w:tabs>
                <w:tab w:val="left" w:pos="1950"/>
              </w:tabs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proofErr w:type="spellStart"/>
            <w:r w:rsidRPr="000A672B">
              <w:rPr>
                <w:rFonts w:eastAsia="Calibri" w:cs="Times New Roman"/>
                <w:sz w:val="20"/>
                <w:szCs w:val="20"/>
              </w:rPr>
              <w:t>Pz</w:t>
            </w:r>
            <w:proofErr w:type="spellEnd"/>
            <w:r w:rsidRPr="000A672B">
              <w:rPr>
                <w:rFonts w:eastAsia="Calibri" w:cs="Times New Roman"/>
                <w:sz w:val="20"/>
                <w:szCs w:val="20"/>
              </w:rPr>
              <w:t xml:space="preserve"> =</w:t>
            </w:r>
          </w:p>
          <w:p w:rsidR="00084B6D" w:rsidRPr="000A672B" w:rsidRDefault="00084B6D" w:rsidP="00084B6D">
            <w:pPr>
              <w:tabs>
                <w:tab w:val="left" w:pos="1950"/>
              </w:tabs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0A672B">
              <w:rPr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914400" cy="396240"/>
                  <wp:effectExtent l="0" t="0" r="0" b="3810"/>
                  <wp:docPr id="11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3962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4B6D" w:rsidRPr="000A672B" w:rsidTr="0093718B">
        <w:trPr>
          <w:trHeight w:val="418"/>
        </w:trPr>
        <w:tc>
          <w:tcPr>
            <w:tcW w:w="2693" w:type="dxa"/>
            <w:shd w:val="clear" w:color="auto" w:fill="EEECE1"/>
          </w:tcPr>
          <w:p w:rsidR="00084B6D" w:rsidRPr="000A672B" w:rsidRDefault="00084B6D" w:rsidP="00084B6D">
            <w:pPr>
              <w:tabs>
                <w:tab w:val="left" w:pos="1950"/>
              </w:tabs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0A672B">
              <w:rPr>
                <w:rFonts w:eastAsia="Calibri" w:cs="Times New Roman"/>
                <w:sz w:val="20"/>
                <w:szCs w:val="20"/>
              </w:rPr>
              <w:t>Razem</w:t>
            </w:r>
          </w:p>
          <w:p w:rsidR="00084B6D" w:rsidRPr="000A672B" w:rsidRDefault="00084B6D" w:rsidP="00084B6D">
            <w:pPr>
              <w:tabs>
                <w:tab w:val="left" w:pos="1950"/>
              </w:tabs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84B6D" w:rsidRPr="000A672B" w:rsidRDefault="00084B6D" w:rsidP="00084B6D">
            <w:pPr>
              <w:tabs>
                <w:tab w:val="left" w:pos="1950"/>
              </w:tabs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0A672B">
              <w:rPr>
                <w:rFonts w:eastAsia="Calibri" w:cs="Times New Roman"/>
                <w:sz w:val="20"/>
                <w:szCs w:val="20"/>
              </w:rPr>
              <w:t>100%</w:t>
            </w:r>
          </w:p>
        </w:tc>
        <w:tc>
          <w:tcPr>
            <w:tcW w:w="1985" w:type="dxa"/>
          </w:tcPr>
          <w:p w:rsidR="00084B6D" w:rsidRPr="000A672B" w:rsidRDefault="00084B6D" w:rsidP="00084B6D">
            <w:pPr>
              <w:tabs>
                <w:tab w:val="left" w:pos="1950"/>
              </w:tabs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0A672B">
              <w:rPr>
                <w:rFonts w:eastAsia="Calibri" w:cs="Times New Roman"/>
                <w:sz w:val="20"/>
                <w:szCs w:val="20"/>
              </w:rPr>
              <w:t>100</w:t>
            </w:r>
          </w:p>
        </w:tc>
        <w:tc>
          <w:tcPr>
            <w:tcW w:w="2976" w:type="dxa"/>
            <w:shd w:val="clear" w:color="auto" w:fill="EEECE1"/>
          </w:tcPr>
          <w:p w:rsidR="00084B6D" w:rsidRPr="000A672B" w:rsidRDefault="00084B6D" w:rsidP="00084B6D">
            <w:pPr>
              <w:tabs>
                <w:tab w:val="left" w:pos="1950"/>
              </w:tabs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</w:tbl>
    <w:p w:rsidR="0093718B" w:rsidRPr="0093718B" w:rsidRDefault="0093718B" w:rsidP="0093718B">
      <w:pPr>
        <w:spacing w:after="0" w:line="290" w:lineRule="atLeast"/>
        <w:ind w:left="993"/>
        <w:jc w:val="both"/>
        <w:rPr>
          <w:color w:val="1F3864" w:themeColor="accent1" w:themeShade="80"/>
          <w:sz w:val="16"/>
          <w:szCs w:val="16"/>
        </w:rPr>
      </w:pPr>
    </w:p>
    <w:p w:rsidR="00084B6D" w:rsidRPr="00864374" w:rsidRDefault="00084B6D" w:rsidP="005D54FF">
      <w:pPr>
        <w:numPr>
          <w:ilvl w:val="1"/>
          <w:numId w:val="7"/>
        </w:numPr>
        <w:spacing w:after="0" w:line="290" w:lineRule="atLeast"/>
        <w:ind w:left="993" w:hanging="633"/>
        <w:jc w:val="both"/>
        <w:rPr>
          <w:color w:val="1F3864" w:themeColor="accent1" w:themeShade="80"/>
          <w:sz w:val="24"/>
        </w:rPr>
      </w:pPr>
      <w:r w:rsidRPr="00864374">
        <w:rPr>
          <w:szCs w:val="20"/>
        </w:rPr>
        <w:t>Sposób oceny ofert i wyliczenia liczby przyznanych punktów:</w:t>
      </w:r>
    </w:p>
    <w:p w:rsidR="00084B6D" w:rsidRPr="00864374" w:rsidRDefault="00084B6D" w:rsidP="00084B6D">
      <w:pPr>
        <w:pStyle w:val="Akapitzlist"/>
        <w:numPr>
          <w:ilvl w:val="0"/>
          <w:numId w:val="32"/>
        </w:numPr>
        <w:spacing w:after="0" w:line="290" w:lineRule="atLeast"/>
        <w:jc w:val="both"/>
        <w:rPr>
          <w:color w:val="1F3864" w:themeColor="accent1" w:themeShade="80"/>
          <w:sz w:val="24"/>
        </w:rPr>
      </w:pPr>
      <w:r w:rsidRPr="00864374">
        <w:rPr>
          <w:szCs w:val="20"/>
        </w:rPr>
        <w:t>Oferty będą oceniane punktowo. Maksymalna ilość punktów, jaką może osiągnąć oferta wynosi 100 punktów. Punkty będą liczone z dokładnością do dwóch miejsc po przecinku. Przyjmuje się, że 1% to 1 pkt i tak zostanie przeliczona liczba uzyskanych punktów. Najwyższa liczba punktów wyznaczy najkorzystniejszą ofertę.</w:t>
      </w:r>
    </w:p>
    <w:p w:rsidR="00084B6D" w:rsidRPr="00864374" w:rsidRDefault="00084B6D" w:rsidP="00084B6D">
      <w:pPr>
        <w:pStyle w:val="Akapitzlist"/>
        <w:numPr>
          <w:ilvl w:val="0"/>
          <w:numId w:val="32"/>
        </w:numPr>
        <w:spacing w:after="0" w:line="290" w:lineRule="atLeast"/>
        <w:jc w:val="both"/>
        <w:rPr>
          <w:color w:val="1F3864" w:themeColor="accent1" w:themeShade="80"/>
          <w:sz w:val="24"/>
        </w:rPr>
      </w:pPr>
      <w:r w:rsidRPr="00864374">
        <w:rPr>
          <w:szCs w:val="20"/>
        </w:rPr>
        <w:lastRenderedPageBreak/>
        <w:t>Kryterium nr 1 cena. Oferty będą oceniane na podstawie ceny ofertowej podanej przez wykonawcę w formularzu ofertowym sporządzonym zgodnie ze wzorem z załącznika nr 1 SWZ, a przyznane punkty obliczane będą według poniższego wzoru:</w:t>
      </w:r>
    </w:p>
    <w:p w:rsidR="00084B6D" w:rsidRPr="00864374" w:rsidRDefault="00084B6D" w:rsidP="00FB332F">
      <w:pPr>
        <w:spacing w:after="0" w:line="290" w:lineRule="atLeast"/>
        <w:jc w:val="both"/>
        <w:rPr>
          <w:color w:val="1F3864" w:themeColor="accent1" w:themeShade="80"/>
          <w:sz w:val="24"/>
        </w:rPr>
      </w:pP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8670"/>
      </w:tblGrid>
      <w:tr w:rsidR="00FB332F" w:rsidTr="00FB332F">
        <w:tc>
          <w:tcPr>
            <w:tcW w:w="8820" w:type="dxa"/>
          </w:tcPr>
          <w:p w:rsidR="00FB332F" w:rsidRPr="000A672B" w:rsidRDefault="00FB332F" w:rsidP="00FB332F">
            <w:pPr>
              <w:tabs>
                <w:tab w:val="left" w:pos="1950"/>
              </w:tabs>
              <w:spacing w:after="0"/>
              <w:jc w:val="center"/>
              <w:rPr>
                <w:rFonts w:eastAsia="Calibri" w:cs="Times New Roman"/>
                <w:sz w:val="20"/>
                <w:szCs w:val="20"/>
              </w:rPr>
            </w:pPr>
            <w:proofErr w:type="spellStart"/>
            <w:r w:rsidRPr="000A672B">
              <w:rPr>
                <w:rFonts w:eastAsia="Calibri" w:cs="Times New Roman"/>
                <w:sz w:val="20"/>
                <w:szCs w:val="20"/>
              </w:rPr>
              <w:t>Pc</w:t>
            </w:r>
            <w:proofErr w:type="spellEnd"/>
            <w:r w:rsidRPr="000A672B">
              <w:rPr>
                <w:rFonts w:eastAsia="Calibri" w:cs="Times New Roman"/>
                <w:sz w:val="20"/>
                <w:szCs w:val="20"/>
              </w:rPr>
              <w:t>=</w:t>
            </w:r>
            <w:r w:rsidRPr="000A672B">
              <w:rPr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914400" cy="396240"/>
                  <wp:effectExtent l="0" t="0" r="0" b="3810"/>
                  <wp:docPr id="3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3962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FB332F" w:rsidRPr="000A672B" w:rsidRDefault="00FB332F" w:rsidP="00FB332F">
            <w:pPr>
              <w:tabs>
                <w:tab w:val="left" w:pos="1950"/>
              </w:tabs>
              <w:spacing w:after="0"/>
              <w:jc w:val="both"/>
              <w:rPr>
                <w:rFonts w:eastAsia="Calibri" w:cs="Times New Roman"/>
                <w:i/>
                <w:iCs/>
                <w:sz w:val="20"/>
                <w:szCs w:val="20"/>
              </w:rPr>
            </w:pPr>
            <w:r w:rsidRPr="000A672B">
              <w:rPr>
                <w:rFonts w:eastAsia="Calibri" w:cs="Times New Roman"/>
                <w:i/>
                <w:iCs/>
                <w:sz w:val="20"/>
                <w:szCs w:val="20"/>
              </w:rPr>
              <w:t>gdzie:</w:t>
            </w:r>
          </w:p>
          <w:p w:rsidR="00FB332F" w:rsidRPr="000A672B" w:rsidRDefault="00FB332F" w:rsidP="00FB332F">
            <w:pPr>
              <w:tabs>
                <w:tab w:val="left" w:pos="1950"/>
              </w:tabs>
              <w:spacing w:after="0"/>
              <w:jc w:val="both"/>
              <w:rPr>
                <w:rFonts w:eastAsia="Calibri" w:cs="Times New Roman"/>
                <w:i/>
                <w:iCs/>
                <w:sz w:val="20"/>
                <w:szCs w:val="20"/>
              </w:rPr>
            </w:pPr>
            <w:proofErr w:type="spellStart"/>
            <w:r w:rsidRPr="000A672B">
              <w:rPr>
                <w:rFonts w:eastAsia="Calibri" w:cs="Times New Roman"/>
                <w:i/>
                <w:iCs/>
                <w:sz w:val="20"/>
                <w:szCs w:val="20"/>
              </w:rPr>
              <w:t>Cn</w:t>
            </w:r>
            <w:proofErr w:type="spellEnd"/>
            <w:r w:rsidRPr="000A672B">
              <w:rPr>
                <w:rFonts w:eastAsia="Calibri" w:cs="Times New Roman"/>
                <w:i/>
                <w:iCs/>
                <w:sz w:val="20"/>
                <w:szCs w:val="20"/>
              </w:rPr>
              <w:t xml:space="preserve"> - najniższa zaoferowana cena oferty,</w:t>
            </w:r>
          </w:p>
          <w:p w:rsidR="00FB332F" w:rsidRPr="000A672B" w:rsidRDefault="00FB332F" w:rsidP="00FB332F">
            <w:pPr>
              <w:tabs>
                <w:tab w:val="left" w:pos="1950"/>
              </w:tabs>
              <w:spacing w:after="0"/>
              <w:jc w:val="both"/>
              <w:rPr>
                <w:rFonts w:eastAsia="Calibri" w:cs="Times New Roman"/>
                <w:i/>
                <w:iCs/>
                <w:sz w:val="20"/>
                <w:szCs w:val="20"/>
              </w:rPr>
            </w:pPr>
            <w:r w:rsidRPr="000A672B">
              <w:rPr>
                <w:rFonts w:eastAsia="Calibri" w:cs="Times New Roman"/>
                <w:i/>
                <w:iCs/>
                <w:sz w:val="20"/>
                <w:szCs w:val="20"/>
              </w:rPr>
              <w:t>Co - cena zaoferowana w ocenianej ofercie,</w:t>
            </w:r>
          </w:p>
          <w:p w:rsidR="00FB332F" w:rsidRPr="000A672B" w:rsidRDefault="00FB332F" w:rsidP="00FB332F">
            <w:pPr>
              <w:tabs>
                <w:tab w:val="left" w:pos="1950"/>
              </w:tabs>
              <w:spacing w:after="0"/>
              <w:jc w:val="both"/>
              <w:rPr>
                <w:rFonts w:eastAsia="Calibri" w:cs="Times New Roman"/>
                <w:i/>
                <w:iCs/>
                <w:sz w:val="20"/>
                <w:szCs w:val="20"/>
              </w:rPr>
            </w:pPr>
            <w:proofErr w:type="spellStart"/>
            <w:r w:rsidRPr="000A672B">
              <w:rPr>
                <w:rFonts w:eastAsia="Calibri" w:cs="Times New Roman"/>
                <w:i/>
                <w:iCs/>
                <w:sz w:val="20"/>
                <w:szCs w:val="20"/>
              </w:rPr>
              <w:t>Wc</w:t>
            </w:r>
            <w:proofErr w:type="spellEnd"/>
            <w:r w:rsidRPr="000A672B">
              <w:rPr>
                <w:rFonts w:eastAsia="Calibri" w:cs="Times New Roman"/>
                <w:i/>
                <w:iCs/>
                <w:sz w:val="20"/>
                <w:szCs w:val="20"/>
              </w:rPr>
              <w:t xml:space="preserve"> - waga w kryterium nr 1 cena (</w:t>
            </w:r>
            <w:r>
              <w:rPr>
                <w:rFonts w:eastAsia="Calibri" w:cs="Times New Roman"/>
                <w:i/>
                <w:iCs/>
                <w:sz w:val="20"/>
                <w:szCs w:val="20"/>
              </w:rPr>
              <w:t>70</w:t>
            </w:r>
            <w:r w:rsidRPr="000A672B">
              <w:rPr>
                <w:rFonts w:eastAsia="Calibri" w:cs="Times New Roman"/>
                <w:i/>
                <w:iCs/>
                <w:sz w:val="20"/>
                <w:szCs w:val="20"/>
              </w:rPr>
              <w:t>%) w postaci ułamka dziesiętnego (0,</w:t>
            </w:r>
            <w:r>
              <w:rPr>
                <w:rFonts w:eastAsia="Calibri" w:cs="Times New Roman"/>
                <w:i/>
                <w:iCs/>
                <w:sz w:val="20"/>
                <w:szCs w:val="20"/>
              </w:rPr>
              <w:t>7</w:t>
            </w:r>
            <w:r w:rsidRPr="000A672B">
              <w:rPr>
                <w:rFonts w:eastAsia="Calibri" w:cs="Times New Roman"/>
                <w:i/>
                <w:iCs/>
                <w:sz w:val="20"/>
                <w:szCs w:val="20"/>
              </w:rPr>
              <w:t>0),</w:t>
            </w:r>
          </w:p>
          <w:p w:rsidR="00FB332F" w:rsidRDefault="00FB332F" w:rsidP="00FB332F">
            <w:pPr>
              <w:spacing w:after="0" w:line="290" w:lineRule="atLeast"/>
              <w:jc w:val="both"/>
              <w:rPr>
                <w:color w:val="1F3864" w:themeColor="accent1" w:themeShade="80"/>
              </w:rPr>
            </w:pPr>
            <w:proofErr w:type="spellStart"/>
            <w:r w:rsidRPr="000A672B">
              <w:rPr>
                <w:rFonts w:eastAsia="Calibri" w:cs="Times New Roman"/>
                <w:i/>
                <w:iCs/>
                <w:sz w:val="20"/>
                <w:szCs w:val="20"/>
              </w:rPr>
              <w:t>Pc</w:t>
            </w:r>
            <w:proofErr w:type="spellEnd"/>
            <w:r w:rsidRPr="000A672B">
              <w:rPr>
                <w:rFonts w:eastAsia="Calibri" w:cs="Times New Roman"/>
                <w:i/>
                <w:iCs/>
                <w:sz w:val="20"/>
                <w:szCs w:val="20"/>
              </w:rPr>
              <w:t xml:space="preserve"> - liczba punktów uzyskanych przez ocenianą ofertę w kryterium nr 1 cena.</w:t>
            </w:r>
          </w:p>
        </w:tc>
      </w:tr>
    </w:tbl>
    <w:p w:rsidR="00FB332F" w:rsidRPr="00FB332F" w:rsidRDefault="00FB332F" w:rsidP="00FB332F">
      <w:pPr>
        <w:spacing w:after="0" w:line="290" w:lineRule="atLeast"/>
        <w:jc w:val="both"/>
        <w:rPr>
          <w:color w:val="1F3864" w:themeColor="accent1" w:themeShade="80"/>
        </w:rPr>
      </w:pPr>
    </w:p>
    <w:p w:rsidR="00084B6D" w:rsidRPr="00864374" w:rsidRDefault="00084B6D" w:rsidP="00084B6D">
      <w:pPr>
        <w:pStyle w:val="Akapitzlist"/>
        <w:numPr>
          <w:ilvl w:val="0"/>
          <w:numId w:val="32"/>
        </w:numPr>
        <w:spacing w:after="0" w:line="290" w:lineRule="atLeast"/>
        <w:jc w:val="both"/>
        <w:rPr>
          <w:color w:val="1F3864" w:themeColor="accent1" w:themeShade="80"/>
          <w:sz w:val="24"/>
        </w:rPr>
      </w:pPr>
      <w:r w:rsidRPr="00864374">
        <w:rPr>
          <w:szCs w:val="20"/>
        </w:rPr>
        <w:t>Kryterium nr 2 warunki dodatkowe. Punkty za to kryterium zostaną przyznane na podstawie oświadczenia wykonawcy złożonego w formularzu ofertowym sporządzonym według wzoru z załącznika nr 1 do SWZ. Ocena dokonana zostanie na podstawie sumy uzyskanych punktów za określone warunki dodatkowe wskazane w szczegółowym formularzu cenowym. Punkty za warunki dodatkowe zostały wskazane w szczegółowym formularzu cenowym oraz zostaną ocenione zgodnie z poniższym opisem sposobu złożenia w ofercie oświadczenia co do warunków dodatkowych. Maksymalną liczbę punktów w tym kryterium uzyska ten wykonawca, który złoży oświadczenie, że akceptuje najwyższej punktowane warunki dodatkowe. Przyznane punkty obliczane będą według poniższego wzoru:</w:t>
      </w:r>
    </w:p>
    <w:p w:rsidR="00084B6D" w:rsidRDefault="00084B6D" w:rsidP="00FB332F">
      <w:pPr>
        <w:spacing w:after="0" w:line="290" w:lineRule="atLeast"/>
        <w:jc w:val="both"/>
        <w:rPr>
          <w:color w:val="1F3864" w:themeColor="accent1" w:themeShade="80"/>
        </w:rPr>
      </w:pP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8670"/>
      </w:tblGrid>
      <w:tr w:rsidR="00FB332F" w:rsidTr="00E81D5C">
        <w:tc>
          <w:tcPr>
            <w:tcW w:w="8820" w:type="dxa"/>
          </w:tcPr>
          <w:p w:rsidR="00FB332F" w:rsidRPr="000A672B" w:rsidRDefault="00FB332F" w:rsidP="00E81D5C">
            <w:pPr>
              <w:tabs>
                <w:tab w:val="left" w:pos="1950"/>
              </w:tabs>
              <w:spacing w:after="0"/>
              <w:jc w:val="center"/>
              <w:rPr>
                <w:rFonts w:eastAsia="Calibri" w:cs="Times New Roman"/>
                <w:sz w:val="20"/>
                <w:szCs w:val="20"/>
              </w:rPr>
            </w:pPr>
            <w:proofErr w:type="spellStart"/>
            <w:r w:rsidRPr="000A672B">
              <w:rPr>
                <w:rFonts w:eastAsia="Calibri" w:cs="Times New Roman"/>
                <w:sz w:val="20"/>
                <w:szCs w:val="20"/>
              </w:rPr>
              <w:t>Pz</w:t>
            </w:r>
            <w:proofErr w:type="spellEnd"/>
            <w:r w:rsidRPr="000A672B">
              <w:rPr>
                <w:rFonts w:eastAsia="Calibri" w:cs="Times New Roman"/>
                <w:sz w:val="20"/>
                <w:szCs w:val="20"/>
              </w:rPr>
              <w:t>=</w:t>
            </w:r>
            <w:r w:rsidRPr="000A672B">
              <w:rPr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914400" cy="396240"/>
                  <wp:effectExtent l="0" t="0" r="0" b="3810"/>
                  <wp:docPr id="6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396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332F" w:rsidRPr="000A672B" w:rsidRDefault="00FB332F" w:rsidP="00FB332F">
            <w:pPr>
              <w:tabs>
                <w:tab w:val="left" w:pos="1950"/>
              </w:tabs>
              <w:spacing w:after="0"/>
              <w:jc w:val="both"/>
              <w:rPr>
                <w:rFonts w:eastAsia="Calibri" w:cs="Times New Roman"/>
                <w:i/>
                <w:iCs/>
                <w:sz w:val="20"/>
                <w:szCs w:val="20"/>
              </w:rPr>
            </w:pPr>
            <w:r w:rsidRPr="000A672B">
              <w:rPr>
                <w:rFonts w:eastAsia="Calibri" w:cs="Times New Roman"/>
                <w:i/>
                <w:iCs/>
                <w:sz w:val="20"/>
                <w:szCs w:val="20"/>
              </w:rPr>
              <w:t>gdzie:</w:t>
            </w:r>
          </w:p>
          <w:p w:rsidR="00FB332F" w:rsidRPr="000A672B" w:rsidRDefault="00FB332F" w:rsidP="00FB332F">
            <w:pPr>
              <w:tabs>
                <w:tab w:val="left" w:pos="1950"/>
              </w:tabs>
              <w:spacing w:after="0"/>
              <w:jc w:val="both"/>
              <w:rPr>
                <w:rFonts w:eastAsia="Calibri" w:cs="Times New Roman"/>
                <w:i/>
                <w:iCs/>
                <w:sz w:val="20"/>
                <w:szCs w:val="20"/>
              </w:rPr>
            </w:pPr>
            <w:proofErr w:type="spellStart"/>
            <w:r w:rsidRPr="000A672B">
              <w:rPr>
                <w:rFonts w:eastAsia="Calibri" w:cs="Times New Roman"/>
                <w:i/>
                <w:iCs/>
                <w:sz w:val="20"/>
                <w:szCs w:val="20"/>
              </w:rPr>
              <w:t>Zo</w:t>
            </w:r>
            <w:proofErr w:type="spellEnd"/>
            <w:r w:rsidRPr="000A672B">
              <w:rPr>
                <w:rFonts w:eastAsia="Calibri" w:cs="Times New Roman"/>
                <w:i/>
                <w:iCs/>
                <w:sz w:val="20"/>
                <w:szCs w:val="20"/>
              </w:rPr>
              <w:t xml:space="preserve"> - łączna liczba punktów uzyskanych przez ocenianą ofertę za zaakceptowanie poszczególnych </w:t>
            </w:r>
            <w:r>
              <w:rPr>
                <w:rFonts w:eastAsia="Calibri" w:cs="Times New Roman"/>
                <w:i/>
                <w:iCs/>
                <w:sz w:val="20"/>
                <w:szCs w:val="20"/>
              </w:rPr>
              <w:t>warunków dodatkowych</w:t>
            </w:r>
            <w:r w:rsidRPr="000A672B">
              <w:rPr>
                <w:rFonts w:eastAsia="Calibri" w:cs="Times New Roman"/>
                <w:i/>
                <w:iCs/>
                <w:sz w:val="20"/>
                <w:szCs w:val="20"/>
              </w:rPr>
              <w:t>,</w:t>
            </w:r>
          </w:p>
          <w:p w:rsidR="00FB332F" w:rsidRPr="000A672B" w:rsidRDefault="00FB332F" w:rsidP="00FB332F">
            <w:pPr>
              <w:tabs>
                <w:tab w:val="left" w:pos="1950"/>
              </w:tabs>
              <w:spacing w:after="0"/>
              <w:jc w:val="both"/>
              <w:rPr>
                <w:rFonts w:eastAsia="Calibri" w:cs="Times New Roman"/>
                <w:i/>
                <w:iCs/>
                <w:sz w:val="20"/>
                <w:szCs w:val="20"/>
              </w:rPr>
            </w:pPr>
            <w:proofErr w:type="spellStart"/>
            <w:r w:rsidRPr="000A672B">
              <w:rPr>
                <w:rFonts w:eastAsia="Calibri" w:cs="Times New Roman"/>
                <w:i/>
                <w:iCs/>
                <w:sz w:val="20"/>
                <w:szCs w:val="20"/>
              </w:rPr>
              <w:t>Zm</w:t>
            </w:r>
            <w:proofErr w:type="spellEnd"/>
            <w:r w:rsidRPr="000A672B">
              <w:rPr>
                <w:rFonts w:eastAsia="Calibri" w:cs="Times New Roman"/>
                <w:i/>
                <w:iCs/>
                <w:sz w:val="20"/>
                <w:szCs w:val="20"/>
              </w:rPr>
              <w:t xml:space="preserve"> - maksymalna liczba punktów za zaakceptowanie poszczególnych </w:t>
            </w:r>
            <w:r>
              <w:rPr>
                <w:rFonts w:eastAsia="Calibri" w:cs="Times New Roman"/>
                <w:i/>
                <w:iCs/>
                <w:sz w:val="20"/>
                <w:szCs w:val="20"/>
              </w:rPr>
              <w:t>warunków dodatkowych</w:t>
            </w:r>
            <w:r w:rsidRPr="000A672B">
              <w:rPr>
                <w:rFonts w:eastAsia="Calibri" w:cs="Times New Roman"/>
                <w:i/>
                <w:iCs/>
                <w:sz w:val="20"/>
                <w:szCs w:val="20"/>
              </w:rPr>
              <w:t>,</w:t>
            </w:r>
          </w:p>
          <w:p w:rsidR="00FB332F" w:rsidRPr="000A672B" w:rsidRDefault="00FB332F" w:rsidP="00FB332F">
            <w:pPr>
              <w:tabs>
                <w:tab w:val="left" w:pos="1950"/>
              </w:tabs>
              <w:spacing w:after="0"/>
              <w:jc w:val="both"/>
              <w:rPr>
                <w:rFonts w:eastAsia="Calibri" w:cs="Times New Roman"/>
                <w:i/>
                <w:iCs/>
                <w:sz w:val="20"/>
                <w:szCs w:val="20"/>
              </w:rPr>
            </w:pPr>
            <w:proofErr w:type="spellStart"/>
            <w:r w:rsidRPr="000A672B">
              <w:rPr>
                <w:rFonts w:eastAsia="Calibri" w:cs="Times New Roman"/>
                <w:i/>
                <w:iCs/>
                <w:sz w:val="20"/>
                <w:szCs w:val="20"/>
              </w:rPr>
              <w:t>Wz</w:t>
            </w:r>
            <w:proofErr w:type="spellEnd"/>
            <w:r w:rsidRPr="000A672B">
              <w:rPr>
                <w:rFonts w:eastAsia="Calibri" w:cs="Times New Roman"/>
                <w:i/>
                <w:iCs/>
                <w:sz w:val="20"/>
                <w:szCs w:val="20"/>
              </w:rPr>
              <w:t xml:space="preserve"> - waga kryterium nr 2 </w:t>
            </w:r>
            <w:r>
              <w:rPr>
                <w:rFonts w:eastAsia="Calibri" w:cs="Times New Roman"/>
                <w:i/>
                <w:iCs/>
                <w:sz w:val="20"/>
                <w:szCs w:val="20"/>
              </w:rPr>
              <w:t>warunków dodatkowych</w:t>
            </w:r>
            <w:r w:rsidRPr="000A672B">
              <w:rPr>
                <w:rFonts w:eastAsia="Calibri" w:cs="Times New Roman"/>
                <w:i/>
                <w:iCs/>
                <w:sz w:val="20"/>
                <w:szCs w:val="20"/>
              </w:rPr>
              <w:t xml:space="preserve"> (</w:t>
            </w:r>
            <w:r>
              <w:rPr>
                <w:rFonts w:eastAsia="Calibri" w:cs="Times New Roman"/>
                <w:i/>
                <w:iCs/>
                <w:sz w:val="20"/>
                <w:szCs w:val="20"/>
              </w:rPr>
              <w:t>3</w:t>
            </w:r>
            <w:r w:rsidRPr="000A672B">
              <w:rPr>
                <w:rFonts w:eastAsia="Calibri" w:cs="Times New Roman"/>
                <w:i/>
                <w:iCs/>
                <w:sz w:val="20"/>
                <w:szCs w:val="20"/>
              </w:rPr>
              <w:t>0%) w postaci ułamka dziesiętnego (0,</w:t>
            </w:r>
            <w:r>
              <w:rPr>
                <w:rFonts w:eastAsia="Calibri" w:cs="Times New Roman"/>
                <w:i/>
                <w:iCs/>
                <w:sz w:val="20"/>
                <w:szCs w:val="20"/>
              </w:rPr>
              <w:t>3</w:t>
            </w:r>
            <w:r w:rsidRPr="000A672B">
              <w:rPr>
                <w:rFonts w:eastAsia="Calibri" w:cs="Times New Roman"/>
                <w:i/>
                <w:iCs/>
                <w:sz w:val="20"/>
                <w:szCs w:val="20"/>
              </w:rPr>
              <w:t>0),</w:t>
            </w:r>
          </w:p>
          <w:p w:rsidR="00FB332F" w:rsidRDefault="00FB332F" w:rsidP="00FB332F">
            <w:pPr>
              <w:spacing w:after="0" w:line="290" w:lineRule="atLeast"/>
              <w:jc w:val="both"/>
              <w:rPr>
                <w:color w:val="1F3864" w:themeColor="accent1" w:themeShade="80"/>
              </w:rPr>
            </w:pPr>
            <w:proofErr w:type="spellStart"/>
            <w:r w:rsidRPr="000A672B">
              <w:rPr>
                <w:rFonts w:eastAsia="Calibri" w:cs="Times New Roman"/>
                <w:i/>
                <w:iCs/>
                <w:sz w:val="20"/>
                <w:szCs w:val="20"/>
              </w:rPr>
              <w:t>Pz</w:t>
            </w:r>
            <w:proofErr w:type="spellEnd"/>
            <w:r w:rsidRPr="000A672B">
              <w:rPr>
                <w:rFonts w:eastAsia="Calibri" w:cs="Times New Roman"/>
                <w:i/>
                <w:iCs/>
                <w:sz w:val="20"/>
                <w:szCs w:val="20"/>
              </w:rPr>
              <w:t xml:space="preserve"> - liczba punktów uzyskanych przez ocenianą ofertę w kryterium nr 2 </w:t>
            </w:r>
            <w:r>
              <w:rPr>
                <w:rFonts w:eastAsia="Calibri" w:cs="Times New Roman"/>
                <w:i/>
                <w:iCs/>
                <w:sz w:val="20"/>
                <w:szCs w:val="20"/>
              </w:rPr>
              <w:t>warunki dodatkowe</w:t>
            </w:r>
            <w:r w:rsidRPr="000A672B">
              <w:rPr>
                <w:rFonts w:eastAsia="Calibri" w:cs="Times New Roman"/>
                <w:i/>
                <w:iCs/>
                <w:sz w:val="20"/>
                <w:szCs w:val="20"/>
              </w:rPr>
              <w:t>.</w:t>
            </w:r>
          </w:p>
        </w:tc>
      </w:tr>
    </w:tbl>
    <w:p w:rsidR="00FB332F" w:rsidRPr="00FB332F" w:rsidRDefault="00FB332F" w:rsidP="00FB332F">
      <w:pPr>
        <w:spacing w:after="0" w:line="290" w:lineRule="atLeast"/>
        <w:jc w:val="both"/>
        <w:rPr>
          <w:color w:val="1F3864" w:themeColor="accent1" w:themeShade="80"/>
        </w:rPr>
      </w:pPr>
    </w:p>
    <w:p w:rsidR="00084B6D" w:rsidRPr="00864374" w:rsidRDefault="00084B6D" w:rsidP="00084B6D">
      <w:pPr>
        <w:pStyle w:val="Akapitzlist"/>
        <w:spacing w:after="0" w:line="290" w:lineRule="atLeast"/>
        <w:ind w:left="1353"/>
        <w:jc w:val="both"/>
        <w:rPr>
          <w:color w:val="1F3864" w:themeColor="accent1" w:themeShade="80"/>
          <w:sz w:val="24"/>
        </w:rPr>
      </w:pPr>
      <w:r w:rsidRPr="00864374">
        <w:rPr>
          <w:szCs w:val="20"/>
        </w:rPr>
        <w:t>Opis sposobu złożenia w ofercie oświadczenia co do warunków dodatkowych: w szczegółowym formularzu cenowym stanowiącym załącznik nr 1 SWZ, przedstawiono w tabelach zestaw warunków dodatkowych. Zaakceptowanie poszczególnych warunków dodatkowych będzie stanowiło podstawę oceny ofert w kryterium nr 2 warunki dodatkowe. Wykonawca jest zobowiązany wskazać w tabeli, w kolumnie 04 warunek dodatkowy, któr</w:t>
      </w:r>
      <w:r w:rsidR="001D6CFE" w:rsidRPr="00A12FCC">
        <w:rPr>
          <w:szCs w:val="20"/>
        </w:rPr>
        <w:t>y</w:t>
      </w:r>
      <w:r w:rsidRPr="00864374">
        <w:rPr>
          <w:szCs w:val="20"/>
        </w:rPr>
        <w:t xml:space="preserve"> akceptuje (oferuje) poprzez wpisanie słowa TAK lub którego nie akceptuje (nie oferuje) poprzez wpisanie słowa NIE. Wykonawca może zaznaczyć tylko TAK albo NIE. Akceptacja wybranych warunków dodatkowych będzie tożsama z ich zastosowaniem w realizacji zamówienia. Brak oświadczenia wykonawcy (to jest pozostawienie niewypełnionego miejsca w kolumnie 04 i nie wskazanie przez wykonawcę TAK albo NIE), zostanie uznany przez zamawiającego za brak akceptacji danego warunku dodatkowego (NIE). W takim przypadku zamawiający przyzna 0 pkt. W przypadku zaznaczenia TAK i NIE w jednym miejscu dla danego warunku dodatkowego, zamawiający uzna, że wykonawca akceptuje najwyżej punktowany warunek dodatkowy i przyzna wskazaną w tabeli liczbę punktów.</w:t>
      </w:r>
    </w:p>
    <w:p w:rsidR="00084B6D" w:rsidRPr="00864374" w:rsidRDefault="00084B6D" w:rsidP="00084B6D">
      <w:pPr>
        <w:pStyle w:val="Akapitzlist"/>
        <w:numPr>
          <w:ilvl w:val="0"/>
          <w:numId w:val="32"/>
        </w:numPr>
        <w:spacing w:after="0" w:line="290" w:lineRule="atLeast"/>
        <w:jc w:val="both"/>
        <w:rPr>
          <w:color w:val="1F3864" w:themeColor="accent1" w:themeShade="80"/>
          <w:sz w:val="24"/>
        </w:rPr>
      </w:pPr>
      <w:r w:rsidRPr="00864374">
        <w:rPr>
          <w:szCs w:val="20"/>
        </w:rPr>
        <w:lastRenderedPageBreak/>
        <w:t>Całkowita liczba punktów, jaką otrzyma dana oferta, zostanie obliczona według wzoru:</w:t>
      </w:r>
    </w:p>
    <w:p w:rsidR="00084B6D" w:rsidRDefault="00084B6D" w:rsidP="00E81D5C">
      <w:pPr>
        <w:spacing w:after="0" w:line="290" w:lineRule="atLeast"/>
        <w:jc w:val="both"/>
        <w:rPr>
          <w:color w:val="1F3864" w:themeColor="accent1" w:themeShade="8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81D5C" w:rsidTr="00E81D5C">
        <w:tc>
          <w:tcPr>
            <w:tcW w:w="9212" w:type="dxa"/>
          </w:tcPr>
          <w:p w:rsidR="00E81D5C" w:rsidRPr="000A672B" w:rsidRDefault="00E81D5C" w:rsidP="00E81D5C">
            <w:pPr>
              <w:tabs>
                <w:tab w:val="left" w:pos="1950"/>
              </w:tabs>
              <w:spacing w:after="0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E81D5C" w:rsidRPr="000A672B" w:rsidRDefault="00E81D5C" w:rsidP="00E81D5C">
            <w:pPr>
              <w:tabs>
                <w:tab w:val="left" w:pos="1950"/>
              </w:tabs>
              <w:spacing w:after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0A672B">
              <w:rPr>
                <w:rFonts w:eastAsia="Calibri" w:cs="Times New Roman"/>
                <w:sz w:val="20"/>
                <w:szCs w:val="20"/>
              </w:rPr>
              <w:t xml:space="preserve">P = </w:t>
            </w:r>
            <w:proofErr w:type="spellStart"/>
            <w:r w:rsidRPr="000A672B">
              <w:rPr>
                <w:rFonts w:eastAsia="Calibri" w:cs="Times New Roman"/>
                <w:sz w:val="20"/>
                <w:szCs w:val="20"/>
              </w:rPr>
              <w:t>Pc</w:t>
            </w:r>
            <w:proofErr w:type="spellEnd"/>
            <w:r w:rsidRPr="000A672B">
              <w:rPr>
                <w:rFonts w:eastAsia="Calibri" w:cs="Times New Roman"/>
                <w:sz w:val="20"/>
                <w:szCs w:val="20"/>
              </w:rPr>
              <w:t xml:space="preserve"> + </w:t>
            </w:r>
            <w:proofErr w:type="spellStart"/>
            <w:r w:rsidRPr="000A672B">
              <w:rPr>
                <w:rFonts w:eastAsia="Calibri" w:cs="Times New Roman"/>
                <w:sz w:val="20"/>
                <w:szCs w:val="20"/>
              </w:rPr>
              <w:t>Pz</w:t>
            </w:r>
            <w:proofErr w:type="spellEnd"/>
          </w:p>
          <w:p w:rsidR="00E81D5C" w:rsidRPr="000A672B" w:rsidRDefault="00E81D5C" w:rsidP="00E81D5C">
            <w:pPr>
              <w:tabs>
                <w:tab w:val="left" w:pos="1950"/>
              </w:tabs>
              <w:spacing w:after="0"/>
              <w:jc w:val="both"/>
              <w:rPr>
                <w:rFonts w:eastAsia="Calibri" w:cs="Times New Roman"/>
                <w:i/>
                <w:iCs/>
                <w:sz w:val="20"/>
                <w:szCs w:val="20"/>
              </w:rPr>
            </w:pPr>
            <w:r w:rsidRPr="000A672B">
              <w:rPr>
                <w:rFonts w:eastAsia="Calibri" w:cs="Times New Roman"/>
                <w:i/>
                <w:iCs/>
                <w:sz w:val="20"/>
                <w:szCs w:val="20"/>
              </w:rPr>
              <w:t xml:space="preserve">gdzie: </w:t>
            </w:r>
          </w:p>
          <w:p w:rsidR="00E81D5C" w:rsidRPr="000A672B" w:rsidRDefault="00E81D5C" w:rsidP="00E81D5C">
            <w:pPr>
              <w:tabs>
                <w:tab w:val="left" w:pos="1950"/>
              </w:tabs>
              <w:spacing w:after="0"/>
              <w:jc w:val="both"/>
              <w:rPr>
                <w:rFonts w:eastAsia="Calibri" w:cs="Times New Roman"/>
                <w:i/>
                <w:iCs/>
                <w:sz w:val="20"/>
                <w:szCs w:val="20"/>
              </w:rPr>
            </w:pPr>
            <w:proofErr w:type="spellStart"/>
            <w:r w:rsidRPr="000A672B">
              <w:rPr>
                <w:rFonts w:eastAsia="Calibri" w:cs="Times New Roman"/>
                <w:i/>
                <w:iCs/>
                <w:sz w:val="20"/>
                <w:szCs w:val="20"/>
              </w:rPr>
              <w:t>Pc</w:t>
            </w:r>
            <w:proofErr w:type="spellEnd"/>
            <w:r w:rsidRPr="000A672B">
              <w:rPr>
                <w:rFonts w:eastAsia="Calibri" w:cs="Times New Roman"/>
                <w:i/>
                <w:iCs/>
                <w:sz w:val="20"/>
                <w:szCs w:val="20"/>
              </w:rPr>
              <w:t xml:space="preserve"> – liczba punktów uzyskana w kryterium nr 1 cena </w:t>
            </w:r>
          </w:p>
          <w:p w:rsidR="00E81D5C" w:rsidRPr="000A672B" w:rsidRDefault="00E81D5C" w:rsidP="00E81D5C">
            <w:pPr>
              <w:tabs>
                <w:tab w:val="left" w:pos="1950"/>
              </w:tabs>
              <w:spacing w:after="0"/>
              <w:jc w:val="both"/>
              <w:rPr>
                <w:rFonts w:eastAsia="Calibri" w:cs="Times New Roman"/>
                <w:i/>
                <w:iCs/>
                <w:sz w:val="20"/>
                <w:szCs w:val="20"/>
              </w:rPr>
            </w:pPr>
            <w:proofErr w:type="spellStart"/>
            <w:r w:rsidRPr="000A672B">
              <w:rPr>
                <w:rFonts w:eastAsia="Calibri" w:cs="Times New Roman"/>
                <w:i/>
                <w:iCs/>
                <w:sz w:val="20"/>
                <w:szCs w:val="20"/>
              </w:rPr>
              <w:t>Pz</w:t>
            </w:r>
            <w:proofErr w:type="spellEnd"/>
            <w:r w:rsidRPr="000A672B">
              <w:rPr>
                <w:rFonts w:eastAsia="Calibri" w:cs="Times New Roman"/>
                <w:i/>
                <w:iCs/>
                <w:sz w:val="20"/>
                <w:szCs w:val="20"/>
              </w:rPr>
              <w:t xml:space="preserve"> – liczba punktów uzyskana w kryterium nr 2 </w:t>
            </w:r>
            <w:r>
              <w:rPr>
                <w:rFonts w:eastAsia="Calibri" w:cs="Times New Roman"/>
                <w:i/>
                <w:iCs/>
                <w:sz w:val="20"/>
                <w:szCs w:val="20"/>
              </w:rPr>
              <w:t>warunek dodatkowy</w:t>
            </w:r>
          </w:p>
          <w:p w:rsidR="00E81D5C" w:rsidRDefault="00E81D5C" w:rsidP="00E81D5C">
            <w:pPr>
              <w:spacing w:after="0" w:line="290" w:lineRule="atLeast"/>
              <w:jc w:val="both"/>
              <w:rPr>
                <w:color w:val="1F3864" w:themeColor="accent1" w:themeShade="80"/>
              </w:rPr>
            </w:pPr>
            <w:r w:rsidRPr="000A672B">
              <w:rPr>
                <w:rFonts w:eastAsia="Calibri" w:cs="Times New Roman"/>
                <w:i/>
                <w:iCs/>
                <w:sz w:val="20"/>
                <w:szCs w:val="20"/>
              </w:rPr>
              <w:t>P – suma punktów uzyskanych przez ocenianą ofertę w kryterium nr 1 cena i kryteri</w:t>
            </w:r>
            <w:r>
              <w:rPr>
                <w:rFonts w:eastAsia="Calibri" w:cs="Times New Roman"/>
                <w:i/>
                <w:iCs/>
                <w:sz w:val="20"/>
                <w:szCs w:val="20"/>
              </w:rPr>
              <w:t>um</w:t>
            </w:r>
            <w:r w:rsidRPr="000A672B">
              <w:rPr>
                <w:rFonts w:eastAsia="Calibri" w:cs="Times New Roman"/>
                <w:i/>
                <w:iCs/>
                <w:sz w:val="20"/>
                <w:szCs w:val="20"/>
              </w:rPr>
              <w:t xml:space="preserve"> nr 2 </w:t>
            </w:r>
            <w:r>
              <w:rPr>
                <w:rFonts w:eastAsia="Calibri" w:cs="Times New Roman"/>
                <w:i/>
                <w:iCs/>
                <w:sz w:val="20"/>
                <w:szCs w:val="20"/>
              </w:rPr>
              <w:t>warunek dodatkowy</w:t>
            </w:r>
          </w:p>
        </w:tc>
      </w:tr>
    </w:tbl>
    <w:p w:rsidR="00E81D5C" w:rsidRPr="00E81D5C" w:rsidRDefault="00E81D5C" w:rsidP="00E81D5C">
      <w:pPr>
        <w:spacing w:after="0" w:line="290" w:lineRule="atLeast"/>
        <w:jc w:val="both"/>
        <w:rPr>
          <w:color w:val="1F3864" w:themeColor="accent1" w:themeShade="80"/>
        </w:rPr>
      </w:pPr>
    </w:p>
    <w:p w:rsidR="00062965" w:rsidRDefault="00062965" w:rsidP="00062965">
      <w:pPr>
        <w:numPr>
          <w:ilvl w:val="0"/>
          <w:numId w:val="7"/>
        </w:numPr>
        <w:spacing w:after="0" w:line="270" w:lineRule="exact"/>
        <w:ind w:left="426" w:hanging="426"/>
        <w:rPr>
          <w:b/>
        </w:rPr>
      </w:pPr>
      <w:r w:rsidRPr="008E2840">
        <w:rPr>
          <w:b/>
        </w:rPr>
        <w:t>INFORMACJA DOTYCZĄCA WADIUM.</w:t>
      </w:r>
    </w:p>
    <w:p w:rsidR="006948E5" w:rsidRDefault="00062965" w:rsidP="00062965">
      <w:pPr>
        <w:spacing w:after="0" w:line="270" w:lineRule="exact"/>
        <w:rPr>
          <w:rFonts w:cs="Calibri"/>
        </w:rPr>
      </w:pPr>
      <w:r w:rsidRPr="008E2840">
        <w:rPr>
          <w:rFonts w:cs="Calibri"/>
        </w:rPr>
        <w:t>W postępowaniu nie jest wymagane wniesienie wadium.</w:t>
      </w:r>
    </w:p>
    <w:p w:rsidR="00062965" w:rsidRDefault="00062965" w:rsidP="00062965">
      <w:pPr>
        <w:spacing w:after="0" w:line="270" w:lineRule="exact"/>
      </w:pPr>
    </w:p>
    <w:p w:rsidR="00062965" w:rsidRPr="008E2840" w:rsidRDefault="00062965" w:rsidP="00062965">
      <w:pPr>
        <w:numPr>
          <w:ilvl w:val="0"/>
          <w:numId w:val="7"/>
        </w:numPr>
        <w:spacing w:after="0" w:line="270" w:lineRule="exact"/>
        <w:ind w:left="426" w:hanging="426"/>
        <w:rPr>
          <w:b/>
        </w:rPr>
      </w:pPr>
      <w:r w:rsidRPr="008E2840">
        <w:rPr>
          <w:b/>
        </w:rPr>
        <w:t>INFORMACJA DOTYCZĄCA ZABEZPIECZENIA NALEŻYTEGO WYKONANIA UMOWY.</w:t>
      </w:r>
    </w:p>
    <w:p w:rsidR="00062965" w:rsidRDefault="00062965" w:rsidP="00062965">
      <w:pPr>
        <w:spacing w:after="0" w:line="270" w:lineRule="exact"/>
        <w:rPr>
          <w:spacing w:val="-4"/>
        </w:rPr>
      </w:pPr>
      <w:r w:rsidRPr="00C665A9">
        <w:rPr>
          <w:spacing w:val="-4"/>
          <w:szCs w:val="24"/>
        </w:rPr>
        <w:t xml:space="preserve">W postępowaniu nie będzie wymagane wniesienie </w:t>
      </w:r>
      <w:r w:rsidRPr="00C665A9">
        <w:rPr>
          <w:spacing w:val="-4"/>
        </w:rPr>
        <w:t>zabezpieczenia należytego wykonania umowy.</w:t>
      </w:r>
    </w:p>
    <w:p w:rsidR="00062965" w:rsidRPr="00062965" w:rsidRDefault="00062965" w:rsidP="00062965">
      <w:pPr>
        <w:spacing w:after="0" w:line="270" w:lineRule="exact"/>
      </w:pPr>
    </w:p>
    <w:p w:rsidR="00A76E88" w:rsidRPr="00062965" w:rsidRDefault="00816BF4" w:rsidP="00062965">
      <w:pPr>
        <w:numPr>
          <w:ilvl w:val="0"/>
          <w:numId w:val="7"/>
        </w:numPr>
        <w:spacing w:after="0" w:line="270" w:lineRule="exact"/>
        <w:ind w:left="426" w:hanging="426"/>
      </w:pPr>
      <w:r w:rsidRPr="00062965">
        <w:rPr>
          <w:b/>
          <w:bCs/>
          <w:spacing w:val="4"/>
        </w:rPr>
        <w:t>INFORMACJE O FORMALNOŚCIACH</w:t>
      </w:r>
      <w:r w:rsidRPr="00062965">
        <w:rPr>
          <w:b/>
          <w:bCs/>
        </w:rPr>
        <w:t>, JAKIE MUSZĄ ZOSTAĆ DOPEŁNIONE PO WYBORZE OFERTY W CELU ZAWARCIA UMOWY W SPRAWIE ZAMÓWIENIA PUBLICZNEGO.</w:t>
      </w:r>
    </w:p>
    <w:p w:rsidR="0060433E" w:rsidRPr="00062965" w:rsidRDefault="00E81D5C" w:rsidP="00062965">
      <w:pPr>
        <w:pStyle w:val="Akapitzlist"/>
        <w:numPr>
          <w:ilvl w:val="1"/>
          <w:numId w:val="7"/>
        </w:numPr>
        <w:spacing w:after="0" w:line="270" w:lineRule="exact"/>
        <w:ind w:left="993" w:hanging="633"/>
        <w:jc w:val="both"/>
        <w:rPr>
          <w:spacing w:val="-4"/>
        </w:rPr>
      </w:pPr>
      <w:r w:rsidRPr="00062965">
        <w:t xml:space="preserve">Przed zawarciem umowy w sprawie zamówienia, wykonawca jest zobowiązany do przekazania zamawiającemu ogólnych (szczególnych) warunków ubezpieczenia, wskazanych przez wykonawcę w ofercie, które będą miały zastosowanie do umowy w zakresie określonym w projektowanych postanowieniach umowy, określonych w </w:t>
      </w:r>
      <w:r w:rsidRPr="001E0A35">
        <w:t xml:space="preserve">załączniku nr </w:t>
      </w:r>
      <w:r w:rsidR="00E87ACD">
        <w:t>6</w:t>
      </w:r>
      <w:r w:rsidR="001E0A35" w:rsidRPr="001E0A35">
        <w:t xml:space="preserve"> do</w:t>
      </w:r>
      <w:r w:rsidRPr="001E0A35">
        <w:t xml:space="preserve"> SWZ -</w:t>
      </w:r>
      <w:r w:rsidRPr="00062965">
        <w:t xml:space="preserve"> o ile wykonawca nie przedstawił dokumentów wraz z ofertą.</w:t>
      </w:r>
    </w:p>
    <w:p w:rsidR="00E81D5C" w:rsidRPr="00062965" w:rsidRDefault="00E81D5C" w:rsidP="00062965">
      <w:pPr>
        <w:pStyle w:val="Akapitzlist"/>
        <w:numPr>
          <w:ilvl w:val="1"/>
          <w:numId w:val="7"/>
        </w:numPr>
        <w:spacing w:after="0" w:line="270" w:lineRule="exact"/>
        <w:ind w:left="993" w:hanging="633"/>
        <w:jc w:val="both"/>
        <w:rPr>
          <w:spacing w:val="-4"/>
        </w:rPr>
      </w:pPr>
      <w:r w:rsidRPr="00062965">
        <w:rPr>
          <w:spacing w:val="4"/>
        </w:rPr>
        <w:t>W przypadku wykonawców wspólnie ubiegających się o udzielenie zamówienia, przed podpisaniem umowy wykonawcy dostarczą kopię umowy regulującą współpracę tych wykonawców</w:t>
      </w:r>
      <w:r w:rsidRPr="00062965">
        <w:rPr>
          <w:spacing w:val="-4"/>
        </w:rPr>
        <w:t>.</w:t>
      </w:r>
    </w:p>
    <w:p w:rsidR="0060433E" w:rsidRPr="00864374" w:rsidRDefault="0060433E" w:rsidP="00062965">
      <w:pPr>
        <w:spacing w:after="0" w:line="270" w:lineRule="exact"/>
      </w:pPr>
    </w:p>
    <w:p w:rsidR="00A76E88" w:rsidRPr="00864374" w:rsidRDefault="00816BF4" w:rsidP="00062965">
      <w:pPr>
        <w:numPr>
          <w:ilvl w:val="0"/>
          <w:numId w:val="7"/>
        </w:numPr>
        <w:spacing w:after="0" w:line="270" w:lineRule="exact"/>
        <w:ind w:left="426" w:hanging="426"/>
      </w:pPr>
      <w:r w:rsidRPr="00864374">
        <w:rPr>
          <w:b/>
          <w:bCs/>
        </w:rPr>
        <w:t>POUCZENIE O ŚRODKACH OCHRONY PRAWNEJ.</w:t>
      </w:r>
    </w:p>
    <w:p w:rsidR="0060433E" w:rsidRPr="00864374" w:rsidRDefault="0060433E" w:rsidP="00062965">
      <w:pPr>
        <w:numPr>
          <w:ilvl w:val="1"/>
          <w:numId w:val="7"/>
        </w:numPr>
        <w:spacing w:after="0" w:line="270" w:lineRule="exact"/>
        <w:ind w:left="993" w:hanging="633"/>
        <w:jc w:val="both"/>
      </w:pPr>
      <w:r w:rsidRPr="00864374">
        <w:t xml:space="preserve">Środki ochrony prawnej przysługują wykonawcy, jeżeli ma lub miał interes w uzyskaniu zamówienia oraz poniósł lub może ponieść szkodę w wyniku naruszenia przez Zamawiającego przepisów </w:t>
      </w:r>
      <w:proofErr w:type="spellStart"/>
      <w:r w:rsidRPr="00864374">
        <w:t>Pzp</w:t>
      </w:r>
      <w:proofErr w:type="spellEnd"/>
      <w:r w:rsidRPr="00864374">
        <w:t>.</w:t>
      </w:r>
    </w:p>
    <w:p w:rsidR="0060433E" w:rsidRPr="00864374" w:rsidRDefault="0060433E" w:rsidP="00062965">
      <w:pPr>
        <w:numPr>
          <w:ilvl w:val="1"/>
          <w:numId w:val="7"/>
        </w:numPr>
        <w:spacing w:after="0" w:line="270" w:lineRule="exact"/>
        <w:ind w:left="993" w:hanging="633"/>
        <w:jc w:val="both"/>
      </w:pPr>
      <w:r w:rsidRPr="00864374">
        <w:t>Odwołanie przysługuje na:</w:t>
      </w:r>
    </w:p>
    <w:p w:rsidR="0060433E" w:rsidRPr="00864374" w:rsidRDefault="0060433E" w:rsidP="00062965">
      <w:pPr>
        <w:numPr>
          <w:ilvl w:val="0"/>
          <w:numId w:val="25"/>
        </w:numPr>
        <w:spacing w:after="0" w:line="270" w:lineRule="exact"/>
        <w:ind w:left="1418" w:hanging="284"/>
        <w:jc w:val="both"/>
      </w:pPr>
      <w:bookmarkStart w:id="3" w:name="_Hlk63068656"/>
      <w:r w:rsidRPr="00864374">
        <w:rPr>
          <w:lang w:eastAsia="pl-PL"/>
        </w:rPr>
        <w:t>niezgodną z przepisami ustawy czynność zamawiającego, podjętą w postępowaniu</w:t>
      </w:r>
      <w:r w:rsidR="00285AA8" w:rsidRPr="00864374">
        <w:rPr>
          <w:lang w:eastAsia="pl-PL"/>
        </w:rPr>
        <w:br/>
      </w:r>
      <w:r w:rsidRPr="00864374">
        <w:rPr>
          <w:lang w:eastAsia="pl-PL"/>
        </w:rPr>
        <w:t>o</w:t>
      </w:r>
      <w:r w:rsidRPr="00864374">
        <w:t xml:space="preserve"> </w:t>
      </w:r>
      <w:r w:rsidRPr="00864374">
        <w:rPr>
          <w:lang w:eastAsia="pl-PL"/>
        </w:rPr>
        <w:t>udzielenie zamówienia, w tym na projektowane postanowienie umowy</w:t>
      </w:r>
      <w:bookmarkEnd w:id="3"/>
    </w:p>
    <w:p w:rsidR="0060433E" w:rsidRPr="00864374" w:rsidRDefault="0060433E" w:rsidP="00062965">
      <w:pPr>
        <w:numPr>
          <w:ilvl w:val="0"/>
          <w:numId w:val="25"/>
        </w:numPr>
        <w:spacing w:after="0" w:line="270" w:lineRule="exact"/>
        <w:ind w:left="1418" w:hanging="284"/>
        <w:jc w:val="both"/>
      </w:pPr>
      <w:bookmarkStart w:id="4" w:name="_Hlk63068660"/>
      <w:r w:rsidRPr="00864374">
        <w:t>zaniechanie czynności w postępowaniu o udzielenie zamówienia, do której zamawiający był obowiązany na podstawie</w:t>
      </w:r>
      <w:bookmarkEnd w:id="4"/>
      <w:r w:rsidRPr="00864374">
        <w:t xml:space="preserve"> </w:t>
      </w:r>
      <w:proofErr w:type="spellStart"/>
      <w:r w:rsidRPr="00864374">
        <w:t>Pzp</w:t>
      </w:r>
      <w:proofErr w:type="spellEnd"/>
      <w:r w:rsidRPr="00864374">
        <w:t>,</w:t>
      </w:r>
    </w:p>
    <w:p w:rsidR="0060433E" w:rsidRPr="00864374" w:rsidRDefault="0060433E" w:rsidP="00062965">
      <w:pPr>
        <w:numPr>
          <w:ilvl w:val="1"/>
          <w:numId w:val="7"/>
        </w:numPr>
        <w:spacing w:after="0" w:line="270" w:lineRule="exact"/>
        <w:ind w:left="993" w:hanging="633"/>
        <w:jc w:val="both"/>
      </w:pPr>
      <w:r w:rsidRPr="00864374">
        <w:rPr>
          <w:lang w:eastAsia="pl-PL"/>
        </w:rPr>
        <w:t>Odwołanie wnosi się do Prezesa Krajowej Izby Odwoławczej w formie pisemnej albo</w:t>
      </w:r>
      <w:r w:rsidR="00285AA8" w:rsidRPr="00864374">
        <w:rPr>
          <w:lang w:eastAsia="pl-PL"/>
        </w:rPr>
        <w:br/>
      </w:r>
      <w:r w:rsidRPr="00864374">
        <w:rPr>
          <w:lang w:eastAsia="pl-PL"/>
        </w:rPr>
        <w:t>w formie elektronicznej albo w postaci elektronicznej opatrzone podpisem zaufanym.</w:t>
      </w:r>
    </w:p>
    <w:p w:rsidR="0060433E" w:rsidRPr="00864374" w:rsidRDefault="0060433E" w:rsidP="00062965">
      <w:pPr>
        <w:numPr>
          <w:ilvl w:val="1"/>
          <w:numId w:val="7"/>
        </w:numPr>
        <w:spacing w:after="0" w:line="270" w:lineRule="exact"/>
        <w:ind w:left="993" w:hanging="633"/>
        <w:jc w:val="both"/>
      </w:pPr>
      <w:r w:rsidRPr="00864374">
        <w:rPr>
          <w:lang w:eastAsia="pl-PL"/>
        </w:rPr>
        <w:t xml:space="preserve">Na orzeczenie Krajowej Izby Odwoławczej oraz postanowienie Prezesa Krajowej Izby Odwoławczej, o którym mowa w art. 519 ust. 1 </w:t>
      </w:r>
      <w:proofErr w:type="spellStart"/>
      <w:r w:rsidRPr="00864374">
        <w:rPr>
          <w:lang w:eastAsia="pl-PL"/>
        </w:rPr>
        <w:t>pzp</w:t>
      </w:r>
      <w:proofErr w:type="spellEnd"/>
      <w:r w:rsidRPr="00864374">
        <w:rPr>
          <w:lang w:eastAsia="pl-PL"/>
        </w:rPr>
        <w:t>, stronom oraz uczestnikom postępowania odwoławczego przysługuje skarga do sądu. Skargę wnosi się do Sądu Okręgowego w Warszawie za pośrednictwem Prezesa Krajowej Izby Odwoławczej.</w:t>
      </w:r>
    </w:p>
    <w:p w:rsidR="0060433E" w:rsidRDefault="0060433E" w:rsidP="00062965">
      <w:pPr>
        <w:numPr>
          <w:ilvl w:val="1"/>
          <w:numId w:val="7"/>
        </w:numPr>
        <w:spacing w:after="0" w:line="270" w:lineRule="exact"/>
        <w:ind w:left="993" w:hanging="633"/>
        <w:jc w:val="both"/>
      </w:pPr>
      <w:r w:rsidRPr="00864374">
        <w:rPr>
          <w:lang w:eastAsia="pl-PL"/>
        </w:rPr>
        <w:t xml:space="preserve">Szczegółowe informacje dotyczące środków ochrony prawnej określone są w Dziale IX „Środki ochrony prawnej” </w:t>
      </w:r>
      <w:proofErr w:type="spellStart"/>
      <w:r w:rsidRPr="00864374">
        <w:rPr>
          <w:lang w:eastAsia="pl-PL"/>
        </w:rPr>
        <w:t>Pzp</w:t>
      </w:r>
      <w:proofErr w:type="spellEnd"/>
      <w:r w:rsidRPr="00864374">
        <w:rPr>
          <w:lang w:eastAsia="pl-PL"/>
        </w:rPr>
        <w:t>.</w:t>
      </w:r>
    </w:p>
    <w:p w:rsidR="009C1A68" w:rsidRPr="00864374" w:rsidRDefault="009C1A68" w:rsidP="009C1A68">
      <w:pPr>
        <w:spacing w:after="0" w:line="270" w:lineRule="exact"/>
        <w:ind w:left="993"/>
        <w:jc w:val="both"/>
      </w:pPr>
      <w:bookmarkStart w:id="5" w:name="_GoBack"/>
      <w:bookmarkEnd w:id="5"/>
    </w:p>
    <w:p w:rsidR="00A76E88" w:rsidRPr="00864374" w:rsidRDefault="0060433E" w:rsidP="00062965">
      <w:pPr>
        <w:numPr>
          <w:ilvl w:val="0"/>
          <w:numId w:val="7"/>
        </w:numPr>
        <w:spacing w:after="0" w:line="270" w:lineRule="exact"/>
        <w:ind w:left="426" w:hanging="426"/>
      </w:pPr>
      <w:r w:rsidRPr="00864374">
        <w:rPr>
          <w:b/>
        </w:rPr>
        <w:t>KLAUZULA INFORMACYJNA Z ART. 13 RODO</w:t>
      </w:r>
      <w:r w:rsidRPr="00864374">
        <w:rPr>
          <w:b/>
          <w:bCs/>
        </w:rPr>
        <w:t>.</w:t>
      </w:r>
    </w:p>
    <w:p w:rsidR="0060433E" w:rsidRPr="00864374" w:rsidRDefault="0060433E" w:rsidP="00C73027">
      <w:pPr>
        <w:spacing w:after="0" w:line="270" w:lineRule="exact"/>
        <w:jc w:val="both"/>
      </w:pPr>
      <w:r w:rsidRPr="00864374">
        <w:t>Zgodnie z art. 13 ust. 1 i 2 rozporządzenia Parlamentu Europejskiego i Rady (UE) 2016/679 z dnia 27.04.2016 r. w sprawie ochrony osób fizycznych w związku z przetwarzaniem danych osobowych i w sprawie swobodnego przepływu takich danych oraz uchylenia dyrektywy 95/46/WE (ogólne rozporządzenie o ochronie danych) (Dz. U.UE L 119 z 04.05.2016, str. 1), dalej „RODO”, informuję, że:</w:t>
      </w:r>
    </w:p>
    <w:p w:rsidR="0060433E" w:rsidRPr="00864374" w:rsidRDefault="0060433E" w:rsidP="00C73027">
      <w:pPr>
        <w:numPr>
          <w:ilvl w:val="0"/>
          <w:numId w:val="26"/>
        </w:numPr>
        <w:spacing w:after="0" w:line="270" w:lineRule="exact"/>
        <w:jc w:val="both"/>
      </w:pPr>
      <w:r w:rsidRPr="00864374">
        <w:lastRenderedPageBreak/>
        <w:t xml:space="preserve">administratorem Pani/Pana danych osobowych jest: Regionalny Zakład Zagospodarowania Odpadów Sp. z o.o., ul. </w:t>
      </w:r>
      <w:proofErr w:type="spellStart"/>
      <w:r w:rsidRPr="00864374">
        <w:t>Staroprzygodzka</w:t>
      </w:r>
      <w:proofErr w:type="spellEnd"/>
      <w:r w:rsidRPr="00864374">
        <w:t xml:space="preserve"> 121, 63- 400 Ostrów Wielkopolski, telefon 62 503 37 00 e-mail: </w:t>
      </w:r>
      <w:hyperlink r:id="rId20" w:history="1">
        <w:r w:rsidRPr="00864374">
          <w:rPr>
            <w:rStyle w:val="Hipercze"/>
            <w:color w:val="auto"/>
          </w:rPr>
          <w:t>info@rzzo.com.pl</w:t>
        </w:r>
      </w:hyperlink>
    </w:p>
    <w:p w:rsidR="0060433E" w:rsidRPr="00864374" w:rsidRDefault="0060433E" w:rsidP="00C73027">
      <w:pPr>
        <w:numPr>
          <w:ilvl w:val="0"/>
          <w:numId w:val="26"/>
        </w:numPr>
        <w:spacing w:after="0" w:line="270" w:lineRule="exact"/>
        <w:jc w:val="both"/>
      </w:pPr>
      <w:r w:rsidRPr="00864374">
        <w:t>Pani/Pana dane osobowe przetwarzane będą na podstawie art. 6 ust. 1 lit. c RODO w celu związanym z niniejszym postępowaniem o udzielenie zamówienia publicznego,</w:t>
      </w:r>
    </w:p>
    <w:p w:rsidR="0060433E" w:rsidRPr="00864374" w:rsidRDefault="0060433E" w:rsidP="00C73027">
      <w:pPr>
        <w:numPr>
          <w:ilvl w:val="0"/>
          <w:numId w:val="26"/>
        </w:numPr>
        <w:spacing w:after="0" w:line="270" w:lineRule="exact"/>
        <w:jc w:val="both"/>
      </w:pPr>
      <w:r w:rsidRPr="00864374">
        <w:t xml:space="preserve">odbiorcami Pani/Pana danych osobowych będą osoby lub podmioty, którym udostępniona zostanie dokumentacja postępowania w oparciu o art. 18 oraz art. 74 </w:t>
      </w:r>
      <w:proofErr w:type="spellStart"/>
      <w:r w:rsidRPr="00864374">
        <w:t>Pzp</w:t>
      </w:r>
      <w:proofErr w:type="spellEnd"/>
      <w:r w:rsidRPr="00864374">
        <w:t>,</w:t>
      </w:r>
    </w:p>
    <w:p w:rsidR="0060433E" w:rsidRPr="00864374" w:rsidRDefault="0060433E" w:rsidP="00C73027">
      <w:pPr>
        <w:numPr>
          <w:ilvl w:val="0"/>
          <w:numId w:val="26"/>
        </w:numPr>
        <w:spacing w:after="0" w:line="270" w:lineRule="exact"/>
        <w:jc w:val="both"/>
      </w:pPr>
      <w:r w:rsidRPr="00864374">
        <w:t xml:space="preserve">Pani/Pana dane osobowe będą przechowywane, zgodnie z art. 78 ust. 1 </w:t>
      </w:r>
      <w:proofErr w:type="spellStart"/>
      <w:r w:rsidRPr="00864374">
        <w:t>Pzp</w:t>
      </w:r>
      <w:proofErr w:type="spellEnd"/>
      <w:r w:rsidRPr="00864374">
        <w:t>, przez okres 4 lat od dnia zakończenia postępowania o udzielenie zamówienia, a jeżeli czas trwania przekracza 4 lata, okres przechowywania obejmuje cały czas trwania umowy, a po tym czasie przez okres oraz w zakresie wymaganym przez przepisy ustawy z dnia 14 lipca 1983 r. o narodowym zasobie archiwalnym i archiwach,</w:t>
      </w:r>
    </w:p>
    <w:p w:rsidR="0060433E" w:rsidRPr="00864374" w:rsidRDefault="0060433E" w:rsidP="00C73027">
      <w:pPr>
        <w:numPr>
          <w:ilvl w:val="0"/>
          <w:numId w:val="26"/>
        </w:numPr>
        <w:spacing w:after="0" w:line="270" w:lineRule="exact"/>
        <w:jc w:val="both"/>
      </w:pPr>
      <w:r w:rsidRPr="00864374">
        <w:t xml:space="preserve">obowiązek podania przez Panią/Pana danych osobowych bezpośrednio Pani/Pana dotyczących jest wymogiem ustawowym określonym w przepisach ustawy </w:t>
      </w:r>
      <w:proofErr w:type="spellStart"/>
      <w:r w:rsidRPr="00864374">
        <w:t>Pzp</w:t>
      </w:r>
      <w:proofErr w:type="spellEnd"/>
      <w:r w:rsidRPr="00864374">
        <w:t xml:space="preserve">, związanym z udziałem w postępowaniu o udzielenie zamówienia publicznego; konsekwencje niepodania określonych danych wynikają z ustawy </w:t>
      </w:r>
      <w:proofErr w:type="spellStart"/>
      <w:r w:rsidRPr="00864374">
        <w:t>Pzp</w:t>
      </w:r>
      <w:proofErr w:type="spellEnd"/>
      <w:r w:rsidRPr="00864374">
        <w:t>;</w:t>
      </w:r>
    </w:p>
    <w:p w:rsidR="0060433E" w:rsidRPr="00864374" w:rsidRDefault="0060433E" w:rsidP="00C73027">
      <w:pPr>
        <w:numPr>
          <w:ilvl w:val="0"/>
          <w:numId w:val="26"/>
        </w:numPr>
        <w:spacing w:after="0" w:line="270" w:lineRule="exact"/>
        <w:jc w:val="both"/>
      </w:pPr>
      <w:r w:rsidRPr="00864374">
        <w:t>w odniesieniu do Pani/Pana danych osobowych decyzje nie będą podejmowane w sposób zautomatyzowany, stosowanie do art. 22 RODO;</w:t>
      </w:r>
    </w:p>
    <w:p w:rsidR="0060433E" w:rsidRPr="00864374" w:rsidRDefault="0060433E" w:rsidP="00C73027">
      <w:pPr>
        <w:numPr>
          <w:ilvl w:val="0"/>
          <w:numId w:val="26"/>
        </w:numPr>
        <w:spacing w:after="0" w:line="270" w:lineRule="exact"/>
        <w:jc w:val="both"/>
      </w:pPr>
      <w:r w:rsidRPr="00864374">
        <w:t>posiada Pani/Pan:</w:t>
      </w:r>
    </w:p>
    <w:p w:rsidR="0060433E" w:rsidRPr="00864374" w:rsidRDefault="0060433E" w:rsidP="00C73027">
      <w:pPr>
        <w:numPr>
          <w:ilvl w:val="0"/>
          <w:numId w:val="27"/>
        </w:numPr>
        <w:spacing w:after="0" w:line="270" w:lineRule="exact"/>
        <w:ind w:left="1418" w:hanging="425"/>
        <w:jc w:val="both"/>
      </w:pPr>
      <w:r w:rsidRPr="00864374">
        <w:t>na podstawie art. 15 RODO prawo dostępu do danych osobowych Pani/Pana dotyczących;</w:t>
      </w:r>
    </w:p>
    <w:p w:rsidR="0060433E" w:rsidRPr="00864374" w:rsidRDefault="0060433E" w:rsidP="00C73027">
      <w:pPr>
        <w:numPr>
          <w:ilvl w:val="0"/>
          <w:numId w:val="27"/>
        </w:numPr>
        <w:spacing w:after="0" w:line="270" w:lineRule="exact"/>
        <w:ind w:left="1418" w:hanging="425"/>
        <w:jc w:val="both"/>
      </w:pPr>
      <w:r w:rsidRPr="00864374">
        <w:t>na podstawie art. 16 RODO prawo do sprostowania Pani/Pana danych osobowych*;</w:t>
      </w:r>
    </w:p>
    <w:p w:rsidR="0060433E" w:rsidRPr="00864374" w:rsidRDefault="0060433E" w:rsidP="00C73027">
      <w:pPr>
        <w:numPr>
          <w:ilvl w:val="0"/>
          <w:numId w:val="27"/>
        </w:numPr>
        <w:spacing w:after="0" w:line="270" w:lineRule="exact"/>
        <w:ind w:left="1418" w:hanging="425"/>
        <w:jc w:val="both"/>
      </w:pPr>
      <w:r w:rsidRPr="00864374">
        <w:t>na podstawie art. 18 RODO prawo żądania od administratora ograniczenia przetwarzania danych osobowych z zastrzeżeniem przypadków, o których mowa w art. 18 ust. 2 RODO**;</w:t>
      </w:r>
    </w:p>
    <w:p w:rsidR="0060433E" w:rsidRPr="00864374" w:rsidRDefault="0060433E" w:rsidP="00C73027">
      <w:pPr>
        <w:numPr>
          <w:ilvl w:val="0"/>
          <w:numId w:val="27"/>
        </w:numPr>
        <w:spacing w:after="0" w:line="270" w:lineRule="exact"/>
        <w:ind w:left="1418" w:hanging="425"/>
        <w:jc w:val="both"/>
      </w:pPr>
      <w:r w:rsidRPr="00864374">
        <w:t>prawo do wniesienia skargi do Prezesa Urzędu Ochrony Danych Osobowych, gdy uzna Pani/Pan, że przetwarzanie danych osobowych Pani/Pana dotyczących narusza przepisy RODO;</w:t>
      </w:r>
    </w:p>
    <w:p w:rsidR="0060433E" w:rsidRPr="00864374" w:rsidRDefault="0060433E" w:rsidP="00C73027">
      <w:pPr>
        <w:numPr>
          <w:ilvl w:val="0"/>
          <w:numId w:val="26"/>
        </w:numPr>
        <w:spacing w:after="0" w:line="270" w:lineRule="exact"/>
        <w:jc w:val="both"/>
      </w:pPr>
      <w:r w:rsidRPr="00864374">
        <w:t>nie przysługuje Pani/Panu:</w:t>
      </w:r>
    </w:p>
    <w:p w:rsidR="0060433E" w:rsidRPr="00864374" w:rsidRDefault="0060433E" w:rsidP="00C73027">
      <w:pPr>
        <w:numPr>
          <w:ilvl w:val="0"/>
          <w:numId w:val="28"/>
        </w:numPr>
        <w:spacing w:after="0" w:line="270" w:lineRule="exact"/>
        <w:ind w:left="1418" w:hanging="425"/>
        <w:jc w:val="both"/>
      </w:pPr>
      <w:r w:rsidRPr="00864374">
        <w:t>w związku z art. 17 ust. 3 lit. b, d lub e RODO prawo do usunięcia danych osobowych;</w:t>
      </w:r>
    </w:p>
    <w:p w:rsidR="0060433E" w:rsidRPr="00864374" w:rsidRDefault="0060433E" w:rsidP="00C73027">
      <w:pPr>
        <w:numPr>
          <w:ilvl w:val="0"/>
          <w:numId w:val="28"/>
        </w:numPr>
        <w:spacing w:after="0" w:line="270" w:lineRule="exact"/>
        <w:ind w:left="1418" w:hanging="425"/>
        <w:jc w:val="both"/>
      </w:pPr>
      <w:r w:rsidRPr="00864374">
        <w:t>prawo do przenoszenia danych osobowych, o którym mowa w art. 20 RODO;</w:t>
      </w:r>
    </w:p>
    <w:p w:rsidR="0060433E" w:rsidRPr="00864374" w:rsidRDefault="0060433E" w:rsidP="00C73027">
      <w:pPr>
        <w:numPr>
          <w:ilvl w:val="0"/>
          <w:numId w:val="28"/>
        </w:numPr>
        <w:spacing w:after="0" w:line="270" w:lineRule="exact"/>
        <w:ind w:left="1418" w:hanging="425"/>
        <w:jc w:val="both"/>
      </w:pPr>
      <w:r w:rsidRPr="00864374">
        <w:t>na podstawie art. 21 RODO prawo sprzeciwu, wobec przetwarzania danych osobowych, gdyż podstawą prawną przetwarzania Pani/Pana danych osobowych jest art. 6 ust. 1 lit. c RODO</w:t>
      </w:r>
    </w:p>
    <w:p w:rsidR="0060433E" w:rsidRPr="00864374" w:rsidRDefault="0060433E" w:rsidP="0049140C">
      <w:pPr>
        <w:pStyle w:val="Akapitzlist1"/>
        <w:spacing w:after="0" w:line="240" w:lineRule="auto"/>
        <w:ind w:left="0"/>
        <w:jc w:val="both"/>
        <w:rPr>
          <w:sz w:val="18"/>
          <w:szCs w:val="18"/>
          <w:lang w:eastAsia="pl-PL"/>
        </w:rPr>
      </w:pPr>
      <w:r w:rsidRPr="00864374">
        <w:rPr>
          <w:lang w:eastAsia="pl-PL"/>
        </w:rPr>
        <w:t xml:space="preserve">*  </w:t>
      </w:r>
      <w:r w:rsidRPr="00864374">
        <w:rPr>
          <w:sz w:val="18"/>
          <w:szCs w:val="18"/>
          <w:lang w:eastAsia="pl-PL"/>
        </w:rPr>
        <w:t xml:space="preserve">skorzystanie z prawa do sprostowania nie może skutkować zmianą wyniku postępowania o udzielenie zamówienia publicznego ani zmianą postanowień umowy w zakresie niezgodnym z </w:t>
      </w:r>
      <w:proofErr w:type="spellStart"/>
      <w:r w:rsidRPr="00864374">
        <w:rPr>
          <w:sz w:val="18"/>
          <w:szCs w:val="18"/>
          <w:lang w:eastAsia="pl-PL"/>
        </w:rPr>
        <w:t>Pzp</w:t>
      </w:r>
      <w:proofErr w:type="spellEnd"/>
      <w:r w:rsidRPr="00864374">
        <w:rPr>
          <w:sz w:val="18"/>
          <w:szCs w:val="18"/>
          <w:lang w:eastAsia="pl-PL"/>
        </w:rPr>
        <w:t xml:space="preserve"> oraz nie może naruszać integralności protokołu oraz jego załączników</w:t>
      </w:r>
    </w:p>
    <w:p w:rsidR="0060433E" w:rsidRPr="00864374" w:rsidRDefault="0060433E" w:rsidP="0049140C">
      <w:pPr>
        <w:spacing w:after="0" w:line="240" w:lineRule="auto"/>
        <w:jc w:val="both"/>
        <w:rPr>
          <w:sz w:val="18"/>
          <w:szCs w:val="18"/>
          <w:lang w:eastAsia="pl-PL"/>
        </w:rPr>
      </w:pPr>
      <w:r w:rsidRPr="00864374">
        <w:rPr>
          <w:sz w:val="18"/>
          <w:szCs w:val="18"/>
          <w:lang w:eastAsia="pl-PL"/>
        </w:rPr>
        <w:t>**</w:t>
      </w:r>
      <w:r w:rsidRPr="00864374">
        <w:rPr>
          <w:b/>
          <w:sz w:val="18"/>
          <w:szCs w:val="18"/>
          <w:vertAlign w:val="superscript"/>
        </w:rPr>
        <w:t xml:space="preserve"> </w:t>
      </w:r>
      <w:r w:rsidRPr="00864374">
        <w:rPr>
          <w:sz w:val="18"/>
          <w:szCs w:val="18"/>
        </w:rPr>
        <w:t xml:space="preserve">prawo do ograniczenia przetwarzania nie ma zastosowania w odniesieniu do </w:t>
      </w:r>
      <w:r w:rsidRPr="00864374">
        <w:rPr>
          <w:sz w:val="18"/>
          <w:szCs w:val="18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</w:t>
      </w:r>
    </w:p>
    <w:p w:rsidR="00081591" w:rsidRPr="00864374" w:rsidRDefault="00081591" w:rsidP="0049140C">
      <w:pPr>
        <w:spacing w:after="0" w:line="240" w:lineRule="auto"/>
        <w:jc w:val="both"/>
      </w:pPr>
    </w:p>
    <w:p w:rsidR="00081591" w:rsidRDefault="00081591" w:rsidP="0049140C">
      <w:pPr>
        <w:spacing w:after="0" w:line="240" w:lineRule="auto"/>
        <w:jc w:val="both"/>
      </w:pPr>
    </w:p>
    <w:p w:rsidR="001D6CFE" w:rsidRPr="00864374" w:rsidRDefault="001D6CFE" w:rsidP="0049140C">
      <w:pPr>
        <w:spacing w:after="0" w:line="240" w:lineRule="auto"/>
        <w:jc w:val="both"/>
      </w:pPr>
    </w:p>
    <w:p w:rsidR="005D54FF" w:rsidRDefault="005D54FF" w:rsidP="0049140C">
      <w:pPr>
        <w:spacing w:after="0" w:line="240" w:lineRule="auto"/>
        <w:jc w:val="both"/>
      </w:pPr>
    </w:p>
    <w:p w:rsidR="0093718B" w:rsidRDefault="0093718B" w:rsidP="0049140C">
      <w:pPr>
        <w:spacing w:after="0" w:line="240" w:lineRule="auto"/>
        <w:jc w:val="both"/>
      </w:pPr>
    </w:p>
    <w:p w:rsidR="0093718B" w:rsidRDefault="0093718B" w:rsidP="0049140C">
      <w:pPr>
        <w:spacing w:after="0" w:line="240" w:lineRule="auto"/>
        <w:jc w:val="both"/>
      </w:pPr>
    </w:p>
    <w:p w:rsidR="0093718B" w:rsidRDefault="0093718B" w:rsidP="0049140C">
      <w:pPr>
        <w:spacing w:after="0" w:line="240" w:lineRule="auto"/>
        <w:jc w:val="both"/>
      </w:pPr>
    </w:p>
    <w:p w:rsidR="007A7F0A" w:rsidRPr="00864374" w:rsidRDefault="007A7F0A" w:rsidP="0049140C">
      <w:pPr>
        <w:spacing w:after="0" w:line="240" w:lineRule="auto"/>
        <w:jc w:val="both"/>
      </w:pPr>
    </w:p>
    <w:p w:rsidR="00081591" w:rsidRPr="00864374" w:rsidRDefault="00081591" w:rsidP="0049140C">
      <w:pPr>
        <w:spacing w:after="0" w:line="240" w:lineRule="auto"/>
        <w:jc w:val="both"/>
      </w:pPr>
      <w:r w:rsidRPr="00864374">
        <w:t xml:space="preserve">Ostrów Wielkopolski, </w:t>
      </w:r>
      <w:r w:rsidR="00E81D5C" w:rsidRPr="00864374">
        <w:t>2</w:t>
      </w:r>
      <w:r w:rsidR="006A4032">
        <w:t>3</w:t>
      </w:r>
      <w:r w:rsidR="00E81D5C" w:rsidRPr="00864374">
        <w:t xml:space="preserve"> czerwca</w:t>
      </w:r>
      <w:r w:rsidRPr="00864374">
        <w:t xml:space="preserve"> 2021 r.</w:t>
      </w:r>
    </w:p>
    <w:sectPr w:rsidR="00081591" w:rsidRPr="00864374" w:rsidSect="003E7A5A">
      <w:headerReference w:type="default" r:id="rId21"/>
      <w:footerReference w:type="default" r:id="rId2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43E8" w:rsidRDefault="006043E8" w:rsidP="00C853B2">
      <w:pPr>
        <w:spacing w:after="0" w:line="240" w:lineRule="auto"/>
      </w:pPr>
      <w:r>
        <w:separator/>
      </w:r>
    </w:p>
  </w:endnote>
  <w:endnote w:type="continuationSeparator" w:id="0">
    <w:p w:rsidR="006043E8" w:rsidRDefault="006043E8" w:rsidP="00C85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AFF" w:usb1="C000E47F" w:usb2="0000002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53B2" w:rsidRDefault="0028248B">
    <w:pPr>
      <w:pStyle w:val="Stopka"/>
      <w:jc w:val="center"/>
    </w:pPr>
    <w:r>
      <w:fldChar w:fldCharType="begin"/>
    </w:r>
    <w:r w:rsidR="00C853B2">
      <w:instrText>PAGE   \* MERGEFORMAT</w:instrText>
    </w:r>
    <w:r>
      <w:fldChar w:fldCharType="separate"/>
    </w:r>
    <w:r w:rsidR="006A4032">
      <w:rPr>
        <w:noProof/>
      </w:rPr>
      <w:t>12</w:t>
    </w:r>
    <w:r>
      <w:fldChar w:fldCharType="end"/>
    </w:r>
  </w:p>
  <w:p w:rsidR="00C853B2" w:rsidRDefault="00C853B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43E8" w:rsidRDefault="006043E8" w:rsidP="00C853B2">
      <w:pPr>
        <w:spacing w:after="0" w:line="240" w:lineRule="auto"/>
      </w:pPr>
      <w:r>
        <w:separator/>
      </w:r>
    </w:p>
  </w:footnote>
  <w:footnote w:type="continuationSeparator" w:id="0">
    <w:p w:rsidR="006043E8" w:rsidRDefault="006043E8" w:rsidP="00C853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53B2" w:rsidRPr="008A748D" w:rsidRDefault="00C853B2">
    <w:pPr>
      <w:pStyle w:val="Nagwek"/>
    </w:pPr>
    <w:r w:rsidRPr="008A748D">
      <w:rPr>
        <w:rFonts w:ascii="Arial" w:hAnsi="Arial" w:cs="Arial"/>
        <w:i/>
        <w:sz w:val="16"/>
        <w:szCs w:val="16"/>
      </w:rPr>
      <w:t xml:space="preserve">oznaczenie sprawy: </w:t>
    </w:r>
    <w:r w:rsidR="00292BA4" w:rsidRPr="008A748D">
      <w:rPr>
        <w:rFonts w:ascii="Arial" w:hAnsi="Arial" w:cs="Arial"/>
        <w:i/>
        <w:sz w:val="16"/>
        <w:szCs w:val="16"/>
      </w:rPr>
      <w:t>RZZO/DA/2021/</w:t>
    </w:r>
    <w:r w:rsidR="00322385" w:rsidRPr="008A748D">
      <w:rPr>
        <w:rFonts w:ascii="Arial" w:hAnsi="Arial" w:cs="Arial"/>
        <w:i/>
        <w:sz w:val="16"/>
        <w:szCs w:val="16"/>
      </w:rPr>
      <w:t>0</w:t>
    </w:r>
    <w:r w:rsidR="008A748D" w:rsidRPr="008A748D">
      <w:rPr>
        <w:rFonts w:ascii="Arial" w:hAnsi="Arial" w:cs="Arial"/>
        <w:i/>
        <w:sz w:val="16"/>
        <w:szCs w:val="16"/>
      </w:rPr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934ED"/>
    <w:multiLevelType w:val="multilevel"/>
    <w:tmpl w:val="258842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.1.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1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a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58C6E44"/>
    <w:multiLevelType w:val="multilevel"/>
    <w:tmpl w:val="E01E89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8BE0DCA"/>
    <w:multiLevelType w:val="hybridMultilevel"/>
    <w:tmpl w:val="60E00D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8E678B"/>
    <w:multiLevelType w:val="hybridMultilevel"/>
    <w:tmpl w:val="16866B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A30E6"/>
    <w:multiLevelType w:val="multilevel"/>
    <w:tmpl w:val="2AF2D9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1.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1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a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49D7F75"/>
    <w:multiLevelType w:val="hybridMultilevel"/>
    <w:tmpl w:val="CBF638C0"/>
    <w:lvl w:ilvl="0" w:tplc="BEE277B4">
      <w:start w:val="1"/>
      <w:numFmt w:val="lowerLetter"/>
      <w:lvlText w:val="%1)"/>
      <w:lvlJc w:val="left"/>
      <w:pPr>
        <w:ind w:left="1778" w:hanging="360"/>
      </w:pPr>
      <w:rPr>
        <w:rFonts w:ascii="Calibri" w:hAnsi="Calibri" w:hint="default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 w15:restartNumberingAfterBreak="0">
    <w:nsid w:val="15592E46"/>
    <w:multiLevelType w:val="hybridMultilevel"/>
    <w:tmpl w:val="B02C07B0"/>
    <w:lvl w:ilvl="0" w:tplc="12E2C4A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16C65CCC"/>
    <w:multiLevelType w:val="hybridMultilevel"/>
    <w:tmpl w:val="13608E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7406C0"/>
    <w:multiLevelType w:val="hybridMultilevel"/>
    <w:tmpl w:val="466042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016793"/>
    <w:multiLevelType w:val="hybridMultilevel"/>
    <w:tmpl w:val="9B324E52"/>
    <w:lvl w:ilvl="0" w:tplc="29E6D2C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D23B67"/>
    <w:multiLevelType w:val="hybridMultilevel"/>
    <w:tmpl w:val="521A0E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8C6671"/>
    <w:multiLevelType w:val="hybridMultilevel"/>
    <w:tmpl w:val="7AB63774"/>
    <w:lvl w:ilvl="0" w:tplc="B7F2783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03C2BD7"/>
    <w:multiLevelType w:val="hybridMultilevel"/>
    <w:tmpl w:val="204E924E"/>
    <w:lvl w:ilvl="0" w:tplc="EE8ABE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39104E4"/>
    <w:multiLevelType w:val="hybridMultilevel"/>
    <w:tmpl w:val="D17E49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246309"/>
    <w:multiLevelType w:val="hybridMultilevel"/>
    <w:tmpl w:val="D0E0BE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036445"/>
    <w:multiLevelType w:val="hybridMultilevel"/>
    <w:tmpl w:val="B62C60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766399"/>
    <w:multiLevelType w:val="hybridMultilevel"/>
    <w:tmpl w:val="3AAA18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10111B"/>
    <w:multiLevelType w:val="multilevel"/>
    <w:tmpl w:val="2E7A51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1800"/>
      </w:pPr>
      <w:rPr>
        <w:rFonts w:hint="default"/>
      </w:rPr>
    </w:lvl>
  </w:abstractNum>
  <w:abstractNum w:abstractNumId="18" w15:restartNumberingAfterBreak="0">
    <w:nsid w:val="42A8649C"/>
    <w:multiLevelType w:val="hybridMultilevel"/>
    <w:tmpl w:val="E1868B90"/>
    <w:lvl w:ilvl="0" w:tplc="12F83A1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5177760A"/>
    <w:multiLevelType w:val="hybridMultilevel"/>
    <w:tmpl w:val="85DE38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BB64FA"/>
    <w:multiLevelType w:val="hybridMultilevel"/>
    <w:tmpl w:val="7C30DB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3D08A8"/>
    <w:multiLevelType w:val="hybridMultilevel"/>
    <w:tmpl w:val="DE40E5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D60210"/>
    <w:multiLevelType w:val="hybridMultilevel"/>
    <w:tmpl w:val="63FACC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532453"/>
    <w:multiLevelType w:val="hybridMultilevel"/>
    <w:tmpl w:val="6FFA56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453D7A"/>
    <w:multiLevelType w:val="hybridMultilevel"/>
    <w:tmpl w:val="B5E83692"/>
    <w:lvl w:ilvl="0" w:tplc="8482EE96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5" w15:restartNumberingAfterBreak="0">
    <w:nsid w:val="69FA7CAB"/>
    <w:multiLevelType w:val="hybridMultilevel"/>
    <w:tmpl w:val="0B6812E6"/>
    <w:lvl w:ilvl="0" w:tplc="52B44A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D0C3655"/>
    <w:multiLevelType w:val="hybridMultilevel"/>
    <w:tmpl w:val="D5AEF9B8"/>
    <w:lvl w:ilvl="0" w:tplc="5EB4B4B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751E5F43"/>
    <w:multiLevelType w:val="hybridMultilevel"/>
    <w:tmpl w:val="DD1289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1448C5"/>
    <w:multiLevelType w:val="hybridMultilevel"/>
    <w:tmpl w:val="013EEB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AB6E71"/>
    <w:multiLevelType w:val="hybridMultilevel"/>
    <w:tmpl w:val="64B4CB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8C7B2D"/>
    <w:multiLevelType w:val="multilevel"/>
    <w:tmpl w:val="6818D6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7E66604D"/>
    <w:multiLevelType w:val="hybridMultilevel"/>
    <w:tmpl w:val="19B468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5"/>
  </w:num>
  <w:num w:numId="4">
    <w:abstractNumId w:val="11"/>
  </w:num>
  <w:num w:numId="5">
    <w:abstractNumId w:val="4"/>
  </w:num>
  <w:num w:numId="6">
    <w:abstractNumId w:val="17"/>
  </w:num>
  <w:num w:numId="7">
    <w:abstractNumId w:val="30"/>
  </w:num>
  <w:num w:numId="8">
    <w:abstractNumId w:val="23"/>
  </w:num>
  <w:num w:numId="9">
    <w:abstractNumId w:val="14"/>
  </w:num>
  <w:num w:numId="10">
    <w:abstractNumId w:val="9"/>
  </w:num>
  <w:num w:numId="11">
    <w:abstractNumId w:val="16"/>
  </w:num>
  <w:num w:numId="12">
    <w:abstractNumId w:val="12"/>
  </w:num>
  <w:num w:numId="13">
    <w:abstractNumId w:val="10"/>
  </w:num>
  <w:num w:numId="14">
    <w:abstractNumId w:val="18"/>
  </w:num>
  <w:num w:numId="15">
    <w:abstractNumId w:val="15"/>
  </w:num>
  <w:num w:numId="16">
    <w:abstractNumId w:val="3"/>
  </w:num>
  <w:num w:numId="17">
    <w:abstractNumId w:val="2"/>
  </w:num>
  <w:num w:numId="18">
    <w:abstractNumId w:val="8"/>
  </w:num>
  <w:num w:numId="19">
    <w:abstractNumId w:val="13"/>
  </w:num>
  <w:num w:numId="20">
    <w:abstractNumId w:val="31"/>
  </w:num>
  <w:num w:numId="21">
    <w:abstractNumId w:val="27"/>
  </w:num>
  <w:num w:numId="22">
    <w:abstractNumId w:val="20"/>
  </w:num>
  <w:num w:numId="23">
    <w:abstractNumId w:val="29"/>
  </w:num>
  <w:num w:numId="24">
    <w:abstractNumId w:val="22"/>
  </w:num>
  <w:num w:numId="25">
    <w:abstractNumId w:val="7"/>
  </w:num>
  <w:num w:numId="26">
    <w:abstractNumId w:val="28"/>
  </w:num>
  <w:num w:numId="27">
    <w:abstractNumId w:val="21"/>
  </w:num>
  <w:num w:numId="28">
    <w:abstractNumId w:val="19"/>
  </w:num>
  <w:num w:numId="29">
    <w:abstractNumId w:val="5"/>
  </w:num>
  <w:num w:numId="30">
    <w:abstractNumId w:val="26"/>
  </w:num>
  <w:num w:numId="31">
    <w:abstractNumId w:val="24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52A"/>
    <w:rsid w:val="000050A8"/>
    <w:rsid w:val="0000521D"/>
    <w:rsid w:val="00017ED4"/>
    <w:rsid w:val="0003656B"/>
    <w:rsid w:val="00045E46"/>
    <w:rsid w:val="00054816"/>
    <w:rsid w:val="00062965"/>
    <w:rsid w:val="00063BE4"/>
    <w:rsid w:val="000757F7"/>
    <w:rsid w:val="0007652A"/>
    <w:rsid w:val="00081591"/>
    <w:rsid w:val="00084B6D"/>
    <w:rsid w:val="000C5625"/>
    <w:rsid w:val="000E1AB6"/>
    <w:rsid w:val="000F1D3F"/>
    <w:rsid w:val="00101AF8"/>
    <w:rsid w:val="00114684"/>
    <w:rsid w:val="00114B88"/>
    <w:rsid w:val="0012596C"/>
    <w:rsid w:val="00161437"/>
    <w:rsid w:val="00183C3E"/>
    <w:rsid w:val="001C1E09"/>
    <w:rsid w:val="001C37D0"/>
    <w:rsid w:val="001C6A87"/>
    <w:rsid w:val="001D6CFE"/>
    <w:rsid w:val="001E09AE"/>
    <w:rsid w:val="001E0A35"/>
    <w:rsid w:val="001F2E65"/>
    <w:rsid w:val="00234480"/>
    <w:rsid w:val="0023498C"/>
    <w:rsid w:val="002473EB"/>
    <w:rsid w:val="00255831"/>
    <w:rsid w:val="0028115E"/>
    <w:rsid w:val="0028248B"/>
    <w:rsid w:val="00285AA8"/>
    <w:rsid w:val="00292B41"/>
    <w:rsid w:val="00292BA4"/>
    <w:rsid w:val="002B38A6"/>
    <w:rsid w:val="002C37F7"/>
    <w:rsid w:val="00322385"/>
    <w:rsid w:val="003467EA"/>
    <w:rsid w:val="0034714D"/>
    <w:rsid w:val="00363A7B"/>
    <w:rsid w:val="0037232B"/>
    <w:rsid w:val="00386034"/>
    <w:rsid w:val="003945E5"/>
    <w:rsid w:val="003973B1"/>
    <w:rsid w:val="003A7BE2"/>
    <w:rsid w:val="003B0358"/>
    <w:rsid w:val="003D4668"/>
    <w:rsid w:val="003E7A5A"/>
    <w:rsid w:val="003F56A2"/>
    <w:rsid w:val="003F7319"/>
    <w:rsid w:val="004233E6"/>
    <w:rsid w:val="0043067C"/>
    <w:rsid w:val="0043284B"/>
    <w:rsid w:val="00456556"/>
    <w:rsid w:val="00463B90"/>
    <w:rsid w:val="0049140C"/>
    <w:rsid w:val="0049747C"/>
    <w:rsid w:val="004E3AF9"/>
    <w:rsid w:val="00500292"/>
    <w:rsid w:val="0054125F"/>
    <w:rsid w:val="00545C8D"/>
    <w:rsid w:val="00564EFA"/>
    <w:rsid w:val="0058149C"/>
    <w:rsid w:val="00597A89"/>
    <w:rsid w:val="005D54FF"/>
    <w:rsid w:val="0060433E"/>
    <w:rsid w:val="006043E8"/>
    <w:rsid w:val="006070CF"/>
    <w:rsid w:val="006202C4"/>
    <w:rsid w:val="00647E4A"/>
    <w:rsid w:val="006657E2"/>
    <w:rsid w:val="00677C07"/>
    <w:rsid w:val="006948E5"/>
    <w:rsid w:val="00697A75"/>
    <w:rsid w:val="006A4032"/>
    <w:rsid w:val="006D4998"/>
    <w:rsid w:val="006E3AA1"/>
    <w:rsid w:val="00716526"/>
    <w:rsid w:val="00752CFC"/>
    <w:rsid w:val="00760378"/>
    <w:rsid w:val="007A755F"/>
    <w:rsid w:val="007A79BE"/>
    <w:rsid w:val="007A7F0A"/>
    <w:rsid w:val="007C153B"/>
    <w:rsid w:val="007D1C14"/>
    <w:rsid w:val="007F1FEB"/>
    <w:rsid w:val="008070BC"/>
    <w:rsid w:val="00816BF4"/>
    <w:rsid w:val="008177C6"/>
    <w:rsid w:val="00835331"/>
    <w:rsid w:val="00864374"/>
    <w:rsid w:val="008750A2"/>
    <w:rsid w:val="00881541"/>
    <w:rsid w:val="008A748D"/>
    <w:rsid w:val="008D1B7E"/>
    <w:rsid w:val="008E2F1A"/>
    <w:rsid w:val="008F3EAB"/>
    <w:rsid w:val="009142E0"/>
    <w:rsid w:val="00915203"/>
    <w:rsid w:val="00934658"/>
    <w:rsid w:val="0093718B"/>
    <w:rsid w:val="00945714"/>
    <w:rsid w:val="0095402E"/>
    <w:rsid w:val="00967D4B"/>
    <w:rsid w:val="009700C0"/>
    <w:rsid w:val="00971DA4"/>
    <w:rsid w:val="009913CA"/>
    <w:rsid w:val="009C1A68"/>
    <w:rsid w:val="009D13E8"/>
    <w:rsid w:val="009D4F84"/>
    <w:rsid w:val="009F6EC2"/>
    <w:rsid w:val="00A12EFB"/>
    <w:rsid w:val="00A12FCC"/>
    <w:rsid w:val="00A35615"/>
    <w:rsid w:val="00A53270"/>
    <w:rsid w:val="00A55516"/>
    <w:rsid w:val="00A76E88"/>
    <w:rsid w:val="00A807AD"/>
    <w:rsid w:val="00A85FB1"/>
    <w:rsid w:val="00A97C8C"/>
    <w:rsid w:val="00AC0C29"/>
    <w:rsid w:val="00AC7331"/>
    <w:rsid w:val="00AC7F10"/>
    <w:rsid w:val="00AD67C8"/>
    <w:rsid w:val="00AF4EFA"/>
    <w:rsid w:val="00B00F62"/>
    <w:rsid w:val="00B04787"/>
    <w:rsid w:val="00B27554"/>
    <w:rsid w:val="00B310AF"/>
    <w:rsid w:val="00B40FC3"/>
    <w:rsid w:val="00B63206"/>
    <w:rsid w:val="00B745C5"/>
    <w:rsid w:val="00BC12E2"/>
    <w:rsid w:val="00BD23C6"/>
    <w:rsid w:val="00BF10DC"/>
    <w:rsid w:val="00C73027"/>
    <w:rsid w:val="00C853B2"/>
    <w:rsid w:val="00C96A84"/>
    <w:rsid w:val="00CB2218"/>
    <w:rsid w:val="00CC1E17"/>
    <w:rsid w:val="00CD7000"/>
    <w:rsid w:val="00CE044A"/>
    <w:rsid w:val="00CE1728"/>
    <w:rsid w:val="00CF1B8A"/>
    <w:rsid w:val="00CF4CD8"/>
    <w:rsid w:val="00CF61D2"/>
    <w:rsid w:val="00D01CA1"/>
    <w:rsid w:val="00D378F2"/>
    <w:rsid w:val="00D75BA0"/>
    <w:rsid w:val="00D84A89"/>
    <w:rsid w:val="00D90D84"/>
    <w:rsid w:val="00DE1F08"/>
    <w:rsid w:val="00DF4050"/>
    <w:rsid w:val="00DF62A3"/>
    <w:rsid w:val="00E211C3"/>
    <w:rsid w:val="00E63B7B"/>
    <w:rsid w:val="00E63F3D"/>
    <w:rsid w:val="00E7065A"/>
    <w:rsid w:val="00E81D5C"/>
    <w:rsid w:val="00E87ACD"/>
    <w:rsid w:val="00EA7F33"/>
    <w:rsid w:val="00EB4F00"/>
    <w:rsid w:val="00EC2751"/>
    <w:rsid w:val="00EC5EBF"/>
    <w:rsid w:val="00EC7FC8"/>
    <w:rsid w:val="00ED5AE8"/>
    <w:rsid w:val="00F00514"/>
    <w:rsid w:val="00F1023E"/>
    <w:rsid w:val="00F11C54"/>
    <w:rsid w:val="00F12FB8"/>
    <w:rsid w:val="00F15183"/>
    <w:rsid w:val="00F332F0"/>
    <w:rsid w:val="00F37623"/>
    <w:rsid w:val="00F55562"/>
    <w:rsid w:val="00F63679"/>
    <w:rsid w:val="00F70C4D"/>
    <w:rsid w:val="00FB3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50A15"/>
  <w15:docId w15:val="{A8344B7B-2989-48FB-B3D9-B1160B9ED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7A5A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A76E8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Lista">
    <w:name w:val="List"/>
    <w:basedOn w:val="Normalny"/>
    <w:rsid w:val="00A76E88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rsid w:val="00A76E88"/>
    <w:rPr>
      <w:rFonts w:cs="Times New Roman"/>
      <w:color w:val="000080"/>
      <w:u w:val="single"/>
    </w:rPr>
  </w:style>
  <w:style w:type="paragraph" w:styleId="Tekstpodstawowy">
    <w:name w:val="Body Text"/>
    <w:basedOn w:val="Normalny"/>
    <w:link w:val="TekstpodstawowyZnak"/>
    <w:rsid w:val="00A76E88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A76E88"/>
    <w:rPr>
      <w:rFonts w:ascii="Times New Roman" w:eastAsia="Times New Roman" w:hAnsi="Times New Roman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500292"/>
    <w:rPr>
      <w:color w:val="605E5C"/>
      <w:shd w:val="clear" w:color="auto" w:fill="E1DFDD"/>
    </w:rPr>
  </w:style>
  <w:style w:type="paragraph" w:customStyle="1" w:styleId="Akapitzlist1">
    <w:name w:val="Akapit z listą1"/>
    <w:aliases w:val="CW_Lista"/>
    <w:basedOn w:val="Normalny"/>
    <w:link w:val="ListParagraphChar"/>
    <w:rsid w:val="0060433E"/>
    <w:pPr>
      <w:ind w:left="720"/>
    </w:pPr>
    <w:rPr>
      <w:rFonts w:eastAsia="Times New Roman" w:cs="Calibri"/>
    </w:rPr>
  </w:style>
  <w:style w:type="character" w:customStyle="1" w:styleId="ListParagraphChar">
    <w:name w:val="List Paragraph Char"/>
    <w:aliases w:val="CW_Lista Char"/>
    <w:link w:val="Akapitzlist1"/>
    <w:locked/>
    <w:rsid w:val="0060433E"/>
    <w:rPr>
      <w:rFonts w:eastAsia="Times New Roman" w:cs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C853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853B2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853B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853B2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67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67EA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CE044A"/>
    <w:pPr>
      <w:ind w:left="720"/>
      <w:contextualSpacing/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D4F84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084B6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rzzo.com.pl" TargetMode="External"/><Relationship Id="rId13" Type="http://schemas.openxmlformats.org/officeDocument/2006/relationships/hyperlink" Target="https://miniportal.uzp.gov.pl/" TargetMode="External"/><Relationship Id="rId18" Type="http://schemas.openxmlformats.org/officeDocument/2006/relationships/image" Target="media/image2.png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epuap.gov.pl/wps/portal" TargetMode="External"/><Relationship Id="rId17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hyperlink" Target="https://miniportal.uzp.gov.pl/" TargetMode="External"/><Relationship Id="rId20" Type="http://schemas.openxmlformats.org/officeDocument/2006/relationships/hyperlink" Target="mailto:info@rzzo.com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iniportal.uzp.gov.pl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miniportal.uzp.gov.pl/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przetargi@rzzo.com.pl" TargetMode="External"/><Relationship Id="rId19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hyperlink" Target="http://rzzo.com.pl/zamowienia-publiczne-aktualne/" TargetMode="External"/><Relationship Id="rId14" Type="http://schemas.openxmlformats.org/officeDocument/2006/relationships/hyperlink" Target="https://miniportal.uzp.gov.pl/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95C1F-93A5-4ECF-AE8E-EBBCCBCBD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11</Pages>
  <Words>4745</Words>
  <Characters>28470</Characters>
  <Application>Microsoft Office Word</Application>
  <DocSecurity>0</DocSecurity>
  <Lines>237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33149</CharactersWithSpaces>
  <SharedDoc>false</SharedDoc>
  <HLinks>
    <vt:vector size="42" baseType="variant">
      <vt:variant>
        <vt:i4>4587564</vt:i4>
      </vt:variant>
      <vt:variant>
        <vt:i4>18</vt:i4>
      </vt:variant>
      <vt:variant>
        <vt:i4>0</vt:i4>
      </vt:variant>
      <vt:variant>
        <vt:i4>5</vt:i4>
      </vt:variant>
      <vt:variant>
        <vt:lpwstr>mailto:info@rzzo.com.pl</vt:lpwstr>
      </vt:variant>
      <vt:variant>
        <vt:lpwstr/>
      </vt:variant>
      <vt:variant>
        <vt:i4>2949239</vt:i4>
      </vt:variant>
      <vt:variant>
        <vt:i4>15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2949239</vt:i4>
      </vt:variant>
      <vt:variant>
        <vt:i4>12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2949239</vt:i4>
      </vt:variant>
      <vt:variant>
        <vt:i4>9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786544</vt:i4>
      </vt:variant>
      <vt:variant>
        <vt:i4>6</vt:i4>
      </vt:variant>
      <vt:variant>
        <vt:i4>0</vt:i4>
      </vt:variant>
      <vt:variant>
        <vt:i4>5</vt:i4>
      </vt:variant>
      <vt:variant>
        <vt:lpwstr>mailto:przetargi@rzzo.com.pl</vt:lpwstr>
      </vt:variant>
      <vt:variant>
        <vt:lpwstr/>
      </vt:variant>
      <vt:variant>
        <vt:i4>5177435</vt:i4>
      </vt:variant>
      <vt:variant>
        <vt:i4>3</vt:i4>
      </vt:variant>
      <vt:variant>
        <vt:i4>0</vt:i4>
      </vt:variant>
      <vt:variant>
        <vt:i4>5</vt:i4>
      </vt:variant>
      <vt:variant>
        <vt:lpwstr>http://rzzo.com.pl/zamowienia-publiczne-aktualne/</vt:lpwstr>
      </vt:variant>
      <vt:variant>
        <vt:lpwstr/>
      </vt:variant>
      <vt:variant>
        <vt:i4>786544</vt:i4>
      </vt:variant>
      <vt:variant>
        <vt:i4>0</vt:i4>
      </vt:variant>
      <vt:variant>
        <vt:i4>0</vt:i4>
      </vt:variant>
      <vt:variant>
        <vt:i4>5</vt:i4>
      </vt:variant>
      <vt:variant>
        <vt:lpwstr>mailto:przetargi@rzzo.com.pl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Studniewski</dc:creator>
  <cp:lastModifiedBy>Renata Schubert</cp:lastModifiedBy>
  <cp:revision>6</cp:revision>
  <cp:lastPrinted>2021-02-16T14:53:00Z</cp:lastPrinted>
  <dcterms:created xsi:type="dcterms:W3CDTF">2021-06-23T08:57:00Z</dcterms:created>
  <dcterms:modified xsi:type="dcterms:W3CDTF">2021-06-23T10:22:00Z</dcterms:modified>
</cp:coreProperties>
</file>